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7099" w14:textId="77777777" w:rsidR="00D32213" w:rsidRDefault="00D32213" w:rsidP="00D32213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ФГБОУ ВО </w:t>
      </w:r>
      <w:r>
        <w:rPr>
          <w:rFonts w:ascii="Times New Roman" w:eastAsia="Times New Roman" w:hAnsi="Times New Roman"/>
          <w:b/>
          <w:sz w:val="24"/>
          <w:szCs w:val="24"/>
        </w:rPr>
        <w:t>ЮУГМУ Минздрава России</w:t>
      </w:r>
    </w:p>
    <w:p w14:paraId="7FEC8A13" w14:textId="77777777" w:rsidR="00D32213" w:rsidRDefault="00D32213" w:rsidP="00D32213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медицинский колледж</w:t>
      </w:r>
    </w:p>
    <w:p w14:paraId="3079FBB5" w14:textId="77777777" w:rsidR="00D32213" w:rsidRDefault="00D32213" w:rsidP="00D32213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Вопросы к экзамену</w:t>
      </w:r>
    </w:p>
    <w:p w14:paraId="52BA0B85" w14:textId="61916817" w:rsidR="00D32213" w:rsidRDefault="00D32213" w:rsidP="00D32213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по МДК. 02.01 «Про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педевтика клинических дисциплин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» </w:t>
      </w:r>
    </w:p>
    <w:p w14:paraId="4658D312" w14:textId="0AF46866" w:rsidR="00D32213" w:rsidRDefault="00D32213" w:rsidP="00D322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для обучающихся </w:t>
      </w:r>
      <w:r w:rsidR="00111DFC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курса специальности </w:t>
      </w:r>
      <w:bookmarkStart w:id="0" w:name="_Hlk195253998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31.02.01 </w:t>
      </w:r>
      <w:bookmarkStart w:id="1" w:name="_Hlk195103043"/>
      <w:r>
        <w:rPr>
          <w:rFonts w:ascii="Times New Roman" w:hAnsi="Times New Roman"/>
          <w:b/>
          <w:sz w:val="24"/>
          <w:szCs w:val="24"/>
        </w:rPr>
        <w:t>«Лечебное дело»</w:t>
      </w:r>
      <w:bookmarkEnd w:id="0"/>
      <w:bookmarkEnd w:id="1"/>
    </w:p>
    <w:p w14:paraId="7EC339FC" w14:textId="70BEAEA0" w:rsidR="00D442E3" w:rsidRPr="0019108E" w:rsidRDefault="00D442E3" w:rsidP="00111DF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ru" w:eastAsia="ru-RU"/>
        </w:rPr>
      </w:pPr>
    </w:p>
    <w:p w14:paraId="229483C4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</w:rPr>
        <w:t>Международная статистическая классификация болезней и проблем, связанных со здоровьем. Диагноз, виды диагноза, правила формулирования диагноза в соответствии с международной статистической классификацией болезней и проблем, связанных со здоровьем</w:t>
      </w:r>
    </w:p>
    <w:p w14:paraId="368FBC90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</w:rPr>
        <w:t>Понятие о пропедевтике внутренних болезней. Субъективный метод (расспрос) и объективные (</w:t>
      </w:r>
      <w:proofErr w:type="spellStart"/>
      <w:r w:rsidRPr="00AC121E">
        <w:rPr>
          <w:rFonts w:ascii="Times New Roman" w:hAnsi="Times New Roman"/>
          <w:sz w:val="24"/>
          <w:szCs w:val="24"/>
        </w:rPr>
        <w:t>физикальные</w:t>
      </w:r>
      <w:proofErr w:type="spellEnd"/>
      <w:r w:rsidRPr="00AC121E">
        <w:rPr>
          <w:rFonts w:ascii="Times New Roman" w:hAnsi="Times New Roman"/>
          <w:sz w:val="24"/>
          <w:szCs w:val="24"/>
        </w:rPr>
        <w:t>) методы (осмотр, пальпация, перкуссия, аускультация). Правила проведения.</w:t>
      </w:r>
    </w:p>
    <w:p w14:paraId="4341A94B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</w:rPr>
        <w:t>Этапы расспроса: общие сведения о пациенте, жалобы (основные, общие, по системам), история настоящего заболевания, история жизни.</w:t>
      </w:r>
    </w:p>
    <w:p w14:paraId="490878F0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</w:rPr>
        <w:t xml:space="preserve">Правила проведения осмотра пациента. Общий осмотр. Методика осмотра пациента по областям (осмотр головы, шеи, пальпация лимфатических узлов, щитовидной железы, осмотр и пальпация кожи подкожной клетчатки, костно-мышечной системы, суставов, Определение отеков).  </w:t>
      </w:r>
    </w:p>
    <w:p w14:paraId="65146F18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</w:rPr>
        <w:t>Оценка анатомо-функционального состояния органов и систем организма пациента с учетом возрастных особенностей.</w:t>
      </w:r>
    </w:p>
    <w:p w14:paraId="5BF6D8BD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</w:rPr>
        <w:t xml:space="preserve">Виды дополнительных методов обследования пациента и их диагностическое значение. Лабораторные методы диагностики, правила забора биологического материала. </w:t>
      </w:r>
    </w:p>
    <w:p w14:paraId="27E5AF84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</w:rPr>
        <w:t>Инструментальные методы диагностики. Правила подготовки пациентов к инструментальным методам исследования;</w:t>
      </w:r>
    </w:p>
    <w:p w14:paraId="318B212A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</w:rPr>
        <w:t>Методика интерпретации результатов инструментальных и лабораторных обследований с учетом возрастных особенностей и наличия заболеваний.</w:t>
      </w:r>
    </w:p>
    <w:p w14:paraId="4184034D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  <w:lang w:val="x-none"/>
        </w:rPr>
        <w:t xml:space="preserve">Методика </w:t>
      </w:r>
      <w:proofErr w:type="spellStart"/>
      <w:r w:rsidRPr="00AC121E">
        <w:rPr>
          <w:rFonts w:ascii="Times New Roman" w:hAnsi="Times New Roman"/>
          <w:sz w:val="24"/>
          <w:szCs w:val="24"/>
          <w:lang w:val="x-none"/>
        </w:rPr>
        <w:t>физикального</w:t>
      </w:r>
      <w:proofErr w:type="spellEnd"/>
      <w:r w:rsidRPr="00AC121E">
        <w:rPr>
          <w:rFonts w:ascii="Times New Roman" w:hAnsi="Times New Roman"/>
          <w:sz w:val="24"/>
          <w:szCs w:val="24"/>
          <w:lang w:val="x-none"/>
        </w:rPr>
        <w:t xml:space="preserve"> исследования органов дыхания: осмотр, пальпация, перкуссия. Дополнительные методы диагностики заболеваний органов дыхания. Интерпретация результатов инструментальных и лабораторных обследований</w:t>
      </w:r>
    </w:p>
    <w:p w14:paraId="007F7FE9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  <w:lang w:val="x-none"/>
        </w:rPr>
        <w:t xml:space="preserve">Особенности регуляции системы органов кровообращения при патологических процессах. Методика расспроса пациента с заболеваниями органов кровообращения. </w:t>
      </w:r>
    </w:p>
    <w:p w14:paraId="365AC671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  <w:lang w:val="x-none"/>
        </w:rPr>
        <w:t xml:space="preserve">Методика </w:t>
      </w:r>
      <w:proofErr w:type="spellStart"/>
      <w:r w:rsidRPr="00AC121E">
        <w:rPr>
          <w:rFonts w:ascii="Times New Roman" w:hAnsi="Times New Roman"/>
          <w:sz w:val="24"/>
          <w:szCs w:val="24"/>
          <w:lang w:val="x-none"/>
        </w:rPr>
        <w:t>физикального</w:t>
      </w:r>
      <w:proofErr w:type="spellEnd"/>
      <w:r w:rsidRPr="00AC121E">
        <w:rPr>
          <w:rFonts w:ascii="Times New Roman" w:hAnsi="Times New Roman"/>
          <w:sz w:val="24"/>
          <w:szCs w:val="24"/>
          <w:lang w:val="x-none"/>
        </w:rPr>
        <w:t xml:space="preserve"> исследования органов кровообращения: осмотр, пальпация, перкуссия. Дополнительные методы диагностики заболеваний органов кровообращения. Интерпретация результатов инструментальных и лабораторных обследований</w:t>
      </w:r>
    </w:p>
    <w:p w14:paraId="537BAAC0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  <w:lang w:val="x-none"/>
        </w:rPr>
        <w:t xml:space="preserve">Особенности регуляции системы органов пищеварения при патологических процессах. Методика расспроса пациента с заболеваниями органов пищеварения. </w:t>
      </w:r>
    </w:p>
    <w:p w14:paraId="4A527AEA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  <w:lang w:val="x-none"/>
        </w:rPr>
        <w:t xml:space="preserve">Методика </w:t>
      </w:r>
      <w:proofErr w:type="spellStart"/>
      <w:r w:rsidRPr="00AC121E">
        <w:rPr>
          <w:rFonts w:ascii="Times New Roman" w:hAnsi="Times New Roman"/>
          <w:sz w:val="24"/>
          <w:szCs w:val="24"/>
          <w:lang w:val="x-none"/>
        </w:rPr>
        <w:t>физикального</w:t>
      </w:r>
      <w:proofErr w:type="spellEnd"/>
      <w:r w:rsidRPr="00AC121E">
        <w:rPr>
          <w:rFonts w:ascii="Times New Roman" w:hAnsi="Times New Roman"/>
          <w:sz w:val="24"/>
          <w:szCs w:val="24"/>
          <w:lang w:val="x-none"/>
        </w:rPr>
        <w:t xml:space="preserve"> исследования органов пищеварения осмотр, пальпация, перкуссия. Дополнительные методы диагностики заболеваний органов пищеварения. Интерпретация результатов инструментальных и лабораторных обследований.</w:t>
      </w:r>
    </w:p>
    <w:p w14:paraId="594243D0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  <w:lang w:val="x-none"/>
        </w:rPr>
        <w:lastRenderedPageBreak/>
        <w:t xml:space="preserve">Особенности регуляции системы органов мочевыделения при патологических процессах. Методика расспроса пациента с заболеваниями органов мочевыделения. </w:t>
      </w:r>
    </w:p>
    <w:p w14:paraId="5E30767A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  <w:lang w:val="x-none"/>
        </w:rPr>
        <w:t xml:space="preserve">Методика </w:t>
      </w:r>
      <w:proofErr w:type="spellStart"/>
      <w:r w:rsidRPr="00AC121E">
        <w:rPr>
          <w:rFonts w:ascii="Times New Roman" w:hAnsi="Times New Roman"/>
          <w:sz w:val="24"/>
          <w:szCs w:val="24"/>
          <w:lang w:val="x-none"/>
        </w:rPr>
        <w:t>физикального</w:t>
      </w:r>
      <w:proofErr w:type="spellEnd"/>
      <w:r w:rsidRPr="00AC121E">
        <w:rPr>
          <w:rFonts w:ascii="Times New Roman" w:hAnsi="Times New Roman"/>
          <w:sz w:val="24"/>
          <w:szCs w:val="24"/>
          <w:lang w:val="x-none"/>
        </w:rPr>
        <w:t xml:space="preserve"> исследования органов и мочевыделения: осмотр, пальпация, перкуссия, аускультация. Дополнительные методы диагностики заболеваний органов пищеварения и мочевыделения. Интерпретация результатов инструментальных и лабораторных обследований.</w:t>
      </w:r>
    </w:p>
    <w:p w14:paraId="043E0017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  <w:lang w:val="x-none"/>
        </w:rPr>
        <w:t xml:space="preserve">Особенности регуляции системы эндокринных органов, системы кроветворения при патологических процессах. Методика расспроса пациента с заболеваниями эндокринных органов, системы кроветворения и костно-мышечной системы. </w:t>
      </w:r>
    </w:p>
    <w:p w14:paraId="599616B2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  <w:lang w:val="x-none"/>
        </w:rPr>
        <w:t xml:space="preserve">Методика </w:t>
      </w:r>
      <w:proofErr w:type="spellStart"/>
      <w:r w:rsidRPr="00AC121E">
        <w:rPr>
          <w:rFonts w:ascii="Times New Roman" w:hAnsi="Times New Roman"/>
          <w:sz w:val="24"/>
          <w:szCs w:val="24"/>
          <w:lang w:val="x-none"/>
        </w:rPr>
        <w:t>физикального</w:t>
      </w:r>
      <w:proofErr w:type="spellEnd"/>
      <w:r w:rsidRPr="00AC121E">
        <w:rPr>
          <w:rFonts w:ascii="Times New Roman" w:hAnsi="Times New Roman"/>
          <w:sz w:val="24"/>
          <w:szCs w:val="24"/>
          <w:lang w:val="x-none"/>
        </w:rPr>
        <w:t xml:space="preserve"> исследования эндокринных органов, системы кроветворения: осмотр, пальпация, перкуссия, аускультация. Дополнительные методы диагностики заболеваний эндокринных органов, системы кроветворения и костно-мышечной системы. Интерпретация результатов инструментальных и лабораторных обследований.</w:t>
      </w:r>
    </w:p>
    <w:p w14:paraId="6DF1882C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  <w:lang w:val="x-none"/>
        </w:rPr>
        <w:t xml:space="preserve">Особенности регуляции системы кроветворения при патологических процессах. Методика расспроса пациента с заболеваниями системы кроветворения. </w:t>
      </w:r>
    </w:p>
    <w:p w14:paraId="6601F432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  <w:lang w:val="x-none"/>
        </w:rPr>
        <w:t xml:space="preserve">Особенности регуляции системы костно-мышечной системы при патологических процессах. Методика расспроса пациента с заболеваниями костно-мышечной системы. </w:t>
      </w:r>
    </w:p>
    <w:p w14:paraId="740217E0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  <w:lang w:val="x-none"/>
        </w:rPr>
        <w:t xml:space="preserve">Методика </w:t>
      </w:r>
      <w:proofErr w:type="spellStart"/>
      <w:r w:rsidRPr="00AC121E">
        <w:rPr>
          <w:rFonts w:ascii="Times New Roman" w:hAnsi="Times New Roman"/>
          <w:sz w:val="24"/>
          <w:szCs w:val="24"/>
          <w:lang w:val="x-none"/>
        </w:rPr>
        <w:t>физикального</w:t>
      </w:r>
      <w:proofErr w:type="spellEnd"/>
      <w:r w:rsidRPr="00AC121E">
        <w:rPr>
          <w:rFonts w:ascii="Times New Roman" w:hAnsi="Times New Roman"/>
          <w:sz w:val="24"/>
          <w:szCs w:val="24"/>
          <w:lang w:val="x-none"/>
        </w:rPr>
        <w:t xml:space="preserve"> исследования костно-мышечной системы: осмотр, пальпация, перкуссия, аускультация. Дополнительные методы диагностики костно-мышечной системы. Интерпретация результатов инструментальных и лабораторных обследований</w:t>
      </w:r>
    </w:p>
    <w:p w14:paraId="0F5AD3EE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eastAsia="Times New Roman" w:hAnsi="Times New Roman"/>
          <w:sz w:val="24"/>
          <w:szCs w:val="24"/>
          <w:lang w:eastAsia="ru-RU"/>
        </w:rPr>
        <w:t xml:space="preserve">Аортальный порок сердца (аортальный стеноз). Диагностика. Лечение пациентов. Профилактика осложнений. </w:t>
      </w:r>
      <w:bookmarkStart w:id="2" w:name="_Hlk159416539"/>
      <w:r w:rsidRPr="00AC121E">
        <w:rPr>
          <w:rFonts w:ascii="Times New Roman" w:eastAsia="Times New Roman" w:hAnsi="Times New Roman"/>
          <w:sz w:val="24"/>
          <w:szCs w:val="24"/>
          <w:lang w:eastAsia="ru-RU"/>
        </w:rPr>
        <w:t>Тактика фельдшера.</w:t>
      </w:r>
      <w:bookmarkEnd w:id="2"/>
      <w:r w:rsidRPr="00AC121E">
        <w:rPr>
          <w:rFonts w:ascii="Times New Roman" w:hAnsi="Times New Roman"/>
          <w:sz w:val="24"/>
          <w:szCs w:val="24"/>
        </w:rPr>
        <w:t xml:space="preserve"> </w:t>
      </w:r>
    </w:p>
    <w:p w14:paraId="2A810623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eastAsia="Times New Roman" w:hAnsi="Times New Roman"/>
          <w:sz w:val="24"/>
          <w:szCs w:val="24"/>
          <w:lang w:eastAsia="ru-RU"/>
        </w:rPr>
        <w:t>Хроническая сердечная недостаточность. Диагностика. Лечение пациентов. Профилактика осложнений. Тактика фельдшера.</w:t>
      </w:r>
    </w:p>
    <w:p w14:paraId="32D53ACB" w14:textId="77777777" w:rsidR="00D442E3" w:rsidRPr="00AC121E" w:rsidRDefault="00D442E3" w:rsidP="00D442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>Миокардиты. Диагностика. Лечение пациентов. Профилактика осложнений. Тактика фельдшера.</w:t>
      </w:r>
    </w:p>
    <w:p w14:paraId="393D3B90" w14:textId="77777777" w:rsidR="00D442E3" w:rsidRPr="00AC121E" w:rsidRDefault="00D442E3" w:rsidP="00D442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>Перикардиты. Диагностика. Лечение пациентов. Профилактика осложнений.</w:t>
      </w:r>
    </w:p>
    <w:p w14:paraId="7D22D787" w14:textId="77777777" w:rsidR="00D442E3" w:rsidRPr="00AC121E" w:rsidRDefault="00D442E3" w:rsidP="00D442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>Нарушение ритма сердца (пароксизмальная фибрилляция предсердий). Диагностика. Лечение пациентов. Профилактика осложнений. Тактика фельдшера.</w:t>
      </w:r>
    </w:p>
    <w:p w14:paraId="3CB35C8A" w14:textId="77777777" w:rsidR="00D442E3" w:rsidRPr="00AC121E" w:rsidRDefault="00D442E3" w:rsidP="00D442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>Митральный порок сердца. Диагностика. Лечение пациентов. Профилактика осложнений.</w:t>
      </w:r>
    </w:p>
    <w:p w14:paraId="47F1F5C5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>Острые бронхиты, клиника, диагностика, показания к госпитализации, необходимые лечебные мероприятия.</w:t>
      </w:r>
    </w:p>
    <w:p w14:paraId="286E6607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>Хроническая обструктивная болезнь легких, классификация, клиника, диагностика, осложнения, тактика фельдшера.</w:t>
      </w:r>
    </w:p>
    <w:p w14:paraId="2E4CDDC1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>Бронхиальная астма, классификация, клиника, диагностика, осложнения, тактика фельдшера.</w:t>
      </w:r>
    </w:p>
    <w:p w14:paraId="55E40C54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>Пневмония, классификация, клиника, диагностика, тактика фельдшера, осложнения.</w:t>
      </w:r>
    </w:p>
    <w:p w14:paraId="28B9DCD7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>Нестабильная стенокардия, классификация, клиника, диагностика, осложнения, тактика фельдшера.</w:t>
      </w:r>
    </w:p>
    <w:p w14:paraId="7D59F446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>Острый инфаркт миокарда, классификация, клиника, диагностика, осложнения, тактика фельдшера.</w:t>
      </w:r>
    </w:p>
    <w:p w14:paraId="7EFD2F44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lastRenderedPageBreak/>
        <w:t>Гипертоническая болезнь, классификация, клиника, диагностика, тактика фельдшера.</w:t>
      </w:r>
    </w:p>
    <w:p w14:paraId="520B3E0F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>Ревматизм, классификация, клиника, диагностика, осложнения, тактика фельдшера.</w:t>
      </w:r>
    </w:p>
    <w:p w14:paraId="1458B71E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>Ревматоидный артрит, классификация, клиника, диагностика, тактика фельдшера.</w:t>
      </w:r>
    </w:p>
    <w:p w14:paraId="2A75C26E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>Язвенная болезнь желудка и 12-перстной кишки, классификация, клиника, диагностика, осложнения, неотложные состояния, тактика фельдшера.</w:t>
      </w:r>
    </w:p>
    <w:p w14:paraId="02B0C936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>Хронический холецистит, классификация, клиника, диагностика, осложнения, тактика фельдшера.</w:t>
      </w:r>
    </w:p>
    <w:p w14:paraId="5323C886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>Панкреатит, классификация, клиника, диагностика, тактика фельдшера.</w:t>
      </w:r>
    </w:p>
    <w:p w14:paraId="1ED0A775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 xml:space="preserve">Организация оказания первичной медико-санитарной помощи. Медицинские показания к оказанию первичной медико-санитарной помощи в амбулаторных условиях или в условиях дневного стационара. </w:t>
      </w:r>
    </w:p>
    <w:p w14:paraId="45B4F7C3" w14:textId="77777777" w:rsidR="00D442E3" w:rsidRPr="00AC121E" w:rsidRDefault="00D442E3" w:rsidP="00D442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AC121E">
        <w:rPr>
          <w:rFonts w:ascii="Times New Roman" w:hAnsi="Times New Roman"/>
          <w:sz w:val="24"/>
          <w:szCs w:val="24"/>
          <w:lang w:eastAsia="zh-CN"/>
        </w:rPr>
        <w:t xml:space="preserve">Медицинские показания и порядок направления пациента на консультации к участковому врачу-терапевту, врачу общей практики (семейному врачу) и врачам-специалистам. </w:t>
      </w:r>
    </w:p>
    <w:p w14:paraId="4A91DFE3" w14:textId="77777777" w:rsidR="00D442E3" w:rsidRDefault="00D442E3" w:rsidP="00D442E3">
      <w:pPr>
        <w:spacing w:line="254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946DE75" w14:textId="77777777" w:rsidR="00293526" w:rsidRDefault="00293526"/>
    <w:sectPr w:rsidR="0029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4E78"/>
    <w:multiLevelType w:val="hybridMultilevel"/>
    <w:tmpl w:val="263E871C"/>
    <w:lvl w:ilvl="0" w:tplc="4C6C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22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BE"/>
    <w:rsid w:val="00111DFC"/>
    <w:rsid w:val="00293526"/>
    <w:rsid w:val="003C0823"/>
    <w:rsid w:val="00D32213"/>
    <w:rsid w:val="00D442E3"/>
    <w:rsid w:val="00DB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AA6B"/>
  <w15:chartTrackingRefBased/>
  <w15:docId w15:val="{E52EC3CC-C054-455B-98AD-0068A8F3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2E3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3</cp:revision>
  <dcterms:created xsi:type="dcterms:W3CDTF">2025-04-22T07:44:00Z</dcterms:created>
  <dcterms:modified xsi:type="dcterms:W3CDTF">2025-04-22T08:34:00Z</dcterms:modified>
</cp:coreProperties>
</file>