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B808" w14:textId="77777777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6C2CC127" w14:textId="77777777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0BFAE27E" w14:textId="0C65EE65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</w:t>
      </w:r>
      <w:r w:rsidRPr="005773AC">
        <w:rPr>
          <w:b/>
        </w:rPr>
        <w:t>экзамену</w:t>
      </w:r>
      <w:r>
        <w:rPr>
          <w:rFonts w:eastAsia="Times New Roman"/>
          <w:b/>
        </w:rPr>
        <w:t xml:space="preserve"> </w:t>
      </w:r>
      <w:r w:rsidR="00756C03">
        <w:rPr>
          <w:b/>
        </w:rPr>
        <w:t>по модулю</w:t>
      </w:r>
    </w:p>
    <w:p w14:paraId="55761477" w14:textId="77777777" w:rsidR="00AC501A" w:rsidRDefault="00756C03" w:rsidP="00390208">
      <w:pPr>
        <w:spacing w:after="0" w:line="360" w:lineRule="auto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 </w:t>
      </w:r>
      <w:r w:rsidR="00390208">
        <w:rPr>
          <w:rFonts w:eastAsia="Times New Roman"/>
          <w:b/>
          <w:color w:val="000000"/>
        </w:rPr>
        <w:t xml:space="preserve"> </w:t>
      </w:r>
      <w:r w:rsidR="00390208" w:rsidRPr="005773AC">
        <w:rPr>
          <w:b/>
        </w:rPr>
        <w:t>ПМ.02</w:t>
      </w:r>
      <w:r w:rsidR="00390208">
        <w:rPr>
          <w:rFonts w:eastAsia="Times New Roman"/>
          <w:b/>
          <w:color w:val="000000"/>
        </w:rPr>
        <w:t xml:space="preserve"> «</w:t>
      </w:r>
      <w:r w:rsidR="00390208" w:rsidRPr="005773AC">
        <w:rPr>
          <w:b/>
        </w:rPr>
        <w:t xml:space="preserve">Выполнение клинических лабораторных исследований </w:t>
      </w:r>
    </w:p>
    <w:p w14:paraId="32CFAFDA" w14:textId="1F107570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5773AC">
        <w:rPr>
          <w:b/>
        </w:rPr>
        <w:t>первой и второй категории сложности</w:t>
      </w:r>
      <w:r>
        <w:rPr>
          <w:rFonts w:eastAsia="Times New Roman"/>
          <w:b/>
          <w:color w:val="000000"/>
        </w:rPr>
        <w:t xml:space="preserve">» </w:t>
      </w:r>
    </w:p>
    <w:p w14:paraId="6499FAE3" w14:textId="77777777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31.02.03 </w:t>
      </w:r>
      <w:r>
        <w:rPr>
          <w:rFonts w:eastAsia="Calibri"/>
          <w:b/>
        </w:rPr>
        <w:t>«Лабораторная диагностика»</w:t>
      </w:r>
    </w:p>
    <w:p w14:paraId="632C3B44" w14:textId="77777777" w:rsidR="005773AC" w:rsidRDefault="005773AC" w:rsidP="005773AC"/>
    <w:p w14:paraId="32EA7FD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1.</w:t>
      </w:r>
      <w:r>
        <w:tab/>
        <w:t>Структура клинико-диагностической лаборатории. Стратегия организации лабораторной службы в РФ.</w:t>
      </w:r>
    </w:p>
    <w:p w14:paraId="6937104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2.</w:t>
      </w:r>
      <w:r>
        <w:tab/>
        <w:t>Функциональные обязанности и квалификационная характеристика лабораторного техника. Права и обязанности лабораторного техника.</w:t>
      </w:r>
    </w:p>
    <w:p w14:paraId="007958D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3.</w:t>
      </w:r>
      <w:r>
        <w:tab/>
        <w:t>Этика в работе медицинского техника.</w:t>
      </w:r>
    </w:p>
    <w:p w14:paraId="4A518459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4.</w:t>
      </w:r>
      <w:r>
        <w:tab/>
        <w:t xml:space="preserve">Базовые положения техники безопасности в клинико-диагностической лаборатории. </w:t>
      </w:r>
    </w:p>
    <w:p w14:paraId="344F212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5.</w:t>
      </w:r>
      <w:r>
        <w:tab/>
        <w:t xml:space="preserve">Рабочее место лаборанта. Алгоритмы подготовки рабочего места </w:t>
      </w:r>
    </w:p>
    <w:p w14:paraId="5AB88E4B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6.</w:t>
      </w:r>
      <w:r>
        <w:tab/>
        <w:t>Техника безопасности и санитарно-эпидемиологический режим при работе с биоматериалами. Приказы, регламентирующие соблюдение санитарно-эпидемического режима в клинико-диагностической лаборатории.</w:t>
      </w:r>
    </w:p>
    <w:p w14:paraId="7537B00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7.</w:t>
      </w:r>
      <w:r>
        <w:tab/>
      </w:r>
      <w:proofErr w:type="spellStart"/>
      <w:r>
        <w:t>Санитарно</w:t>
      </w:r>
      <w:proofErr w:type="spellEnd"/>
      <w:r>
        <w:t xml:space="preserve"> - эпидемиологическая обработка в КЛД. Экстренная и плановая. Алгоритмы действия персонала лаборатории при возникновении аварийной ситуации</w:t>
      </w:r>
    </w:p>
    <w:p w14:paraId="7468119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8.</w:t>
      </w:r>
      <w:r>
        <w:tab/>
        <w:t>Понятие дезинфекции, предстерилизационной подготовки, стерилизации; требования к подготовке лабораторной посуды и инструментария к стерилизации, правила приготовления, хранения и использования дезинфицирующих растворов;</w:t>
      </w:r>
    </w:p>
    <w:p w14:paraId="5778D2F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9.</w:t>
      </w:r>
      <w:r>
        <w:tab/>
        <w:t xml:space="preserve">Использование нормативных документов при организации работы в клинико-диагностической лаборатории и соблюдении санитарно-эпидемиологического режима в клинико-диагностической лаборатории. </w:t>
      </w:r>
    </w:p>
    <w:p w14:paraId="5141E4E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10.</w:t>
      </w:r>
      <w:r>
        <w:tab/>
        <w:t>Автоматизированные методы исследования биологического материала: принципы отбора биологического материала, виды анализаторов в клинико-диагностической лаборатории. Диагностические возможности анализаторов при проведении клинических исследований</w:t>
      </w:r>
    </w:p>
    <w:p w14:paraId="67F690C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11.</w:t>
      </w:r>
      <w:r>
        <w:tab/>
        <w:t xml:space="preserve">Нормативные акты, регламентирующие деятельность лабораторной службы. </w:t>
      </w:r>
    </w:p>
    <w:p w14:paraId="791E45D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12.</w:t>
      </w:r>
      <w:r>
        <w:tab/>
        <w:t>Сходимость результатов лабораторных исследований. Определение. Принципы определения</w:t>
      </w:r>
    </w:p>
    <w:p w14:paraId="19693CF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13.</w:t>
      </w:r>
      <w:r>
        <w:tab/>
        <w:t xml:space="preserve">Световая микроскопия при выполнении   клинико-лабораторных исследований. Устройство светового микроскопа. </w:t>
      </w:r>
    </w:p>
    <w:p w14:paraId="75559CA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14.</w:t>
      </w:r>
      <w:r>
        <w:tab/>
        <w:t xml:space="preserve">Организация контроля качества лабораторных исследований. Источники вне- и </w:t>
      </w:r>
      <w:proofErr w:type="spellStart"/>
      <w:r>
        <w:t>внутрилабораторных</w:t>
      </w:r>
      <w:proofErr w:type="spellEnd"/>
      <w:r>
        <w:t xml:space="preserve"> погрешностей. Аналитическая надёжность методов в клинико-диагностической лаборатории (специфичность, чувствительность, воспроизводимость, правильность). </w:t>
      </w:r>
    </w:p>
    <w:p w14:paraId="7066F42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15.</w:t>
      </w:r>
      <w:r>
        <w:tab/>
        <w:t xml:space="preserve">Этапы контроля качества при выполнении лабораторных исследований. Особенности </w:t>
      </w:r>
      <w:proofErr w:type="spellStart"/>
      <w:r>
        <w:t>преаналитического</w:t>
      </w:r>
      <w:proofErr w:type="spellEnd"/>
      <w:r>
        <w:t xml:space="preserve"> лабораторного этапа</w:t>
      </w:r>
    </w:p>
    <w:p w14:paraId="38B24FF8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16.</w:t>
      </w:r>
      <w:r>
        <w:tab/>
        <w:t>Методы окраски в гематологии. Простые и сложные методы окраски.</w:t>
      </w:r>
    </w:p>
    <w:p w14:paraId="2BB2AD0B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17.</w:t>
      </w:r>
      <w:r>
        <w:tab/>
        <w:t>Понятие общего анализа крови.</w:t>
      </w:r>
    </w:p>
    <w:p w14:paraId="00A5519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18.</w:t>
      </w:r>
      <w:r>
        <w:tab/>
        <w:t>Диагностическая ценность исследования лейкоцитарной формулы крови</w:t>
      </w:r>
    </w:p>
    <w:p w14:paraId="613707F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19.</w:t>
      </w:r>
      <w:r>
        <w:tab/>
        <w:t>Приготовление мазков, окраска препаратов при проведении клинических исследований.</w:t>
      </w:r>
    </w:p>
    <w:p w14:paraId="17392B8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20.</w:t>
      </w:r>
      <w:r>
        <w:tab/>
        <w:t>Методы исследования тромбоцитов.</w:t>
      </w:r>
    </w:p>
    <w:p w14:paraId="0746CF94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21.</w:t>
      </w:r>
      <w:r>
        <w:tab/>
        <w:t>Стандартные унифицированные методы исследования общего анализа крови.</w:t>
      </w:r>
    </w:p>
    <w:p w14:paraId="429620D4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22.</w:t>
      </w:r>
      <w:r>
        <w:tab/>
        <w:t>Система кроветворения.</w:t>
      </w:r>
    </w:p>
    <w:p w14:paraId="14764A79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23.</w:t>
      </w:r>
      <w:r>
        <w:tab/>
        <w:t>Показатели оценки состояния кроветворения в общем анализе крови.</w:t>
      </w:r>
    </w:p>
    <w:p w14:paraId="1913B53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24.</w:t>
      </w:r>
      <w:r>
        <w:tab/>
        <w:t xml:space="preserve">Реактивные изменения состояния крови. </w:t>
      </w:r>
      <w:proofErr w:type="spellStart"/>
      <w:r>
        <w:t>Лейкограмма</w:t>
      </w:r>
      <w:proofErr w:type="spellEnd"/>
      <w:r>
        <w:t xml:space="preserve"> при гнойно-воспалительных процессах.</w:t>
      </w:r>
    </w:p>
    <w:p w14:paraId="241AB2E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25.</w:t>
      </w:r>
      <w:r>
        <w:tab/>
        <w:t>Методы определения гемоглобина. Нормы гемоглобина.</w:t>
      </w:r>
    </w:p>
    <w:p w14:paraId="2F4D1D4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lastRenderedPageBreak/>
        <w:t>26.</w:t>
      </w:r>
      <w:r>
        <w:tab/>
        <w:t>Изменение содержания гемоглобина при различных патологических состояниях.</w:t>
      </w:r>
    </w:p>
    <w:p w14:paraId="3C6A22B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27.</w:t>
      </w:r>
      <w:r>
        <w:tab/>
        <w:t xml:space="preserve">Нейтрофильные гранулоциты. Строение, функции. </w:t>
      </w:r>
    </w:p>
    <w:p w14:paraId="4EC17C4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28.</w:t>
      </w:r>
      <w:r>
        <w:tab/>
        <w:t xml:space="preserve">Эозинофилы. Строение </w:t>
      </w:r>
      <w:proofErr w:type="spellStart"/>
      <w:proofErr w:type="gramStart"/>
      <w:r>
        <w:t>функции.Методы</w:t>
      </w:r>
      <w:proofErr w:type="spellEnd"/>
      <w:proofErr w:type="gramEnd"/>
      <w:r>
        <w:t xml:space="preserve"> окраски</w:t>
      </w:r>
    </w:p>
    <w:p w14:paraId="6FC8739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29.</w:t>
      </w:r>
      <w:r>
        <w:tab/>
        <w:t>Базофилы. Строение, функции. Методы окраски</w:t>
      </w:r>
    </w:p>
    <w:p w14:paraId="78069D73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30.</w:t>
      </w:r>
      <w:r>
        <w:tab/>
        <w:t>Лимфоциты. Строение, функции.</w:t>
      </w:r>
    </w:p>
    <w:p w14:paraId="30D336E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31.</w:t>
      </w:r>
      <w:r>
        <w:tab/>
        <w:t>Эритроциты. Строение, функции. Методы подсчёта.</w:t>
      </w:r>
    </w:p>
    <w:p w14:paraId="31EDBB3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32.</w:t>
      </w:r>
      <w:r>
        <w:tab/>
        <w:t>Тромбоциты. Строение, функции. Методы подсчёта.</w:t>
      </w:r>
    </w:p>
    <w:p w14:paraId="0835216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33.</w:t>
      </w:r>
      <w:r>
        <w:tab/>
        <w:t>Ретикулоциты. Строение функции. Методы подсчёта.</w:t>
      </w:r>
    </w:p>
    <w:p w14:paraId="794E304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34.</w:t>
      </w:r>
      <w:r>
        <w:tab/>
      </w:r>
      <w:proofErr w:type="spellStart"/>
      <w:r>
        <w:t>Лейкемоидные</w:t>
      </w:r>
      <w:proofErr w:type="spellEnd"/>
      <w:r>
        <w:t xml:space="preserve"> реакции. Типы реакций.</w:t>
      </w:r>
    </w:p>
    <w:p w14:paraId="479EC37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35.</w:t>
      </w:r>
      <w:r>
        <w:tab/>
        <w:t>Лимфоцитоз. Причины возникновения. Нормы содержания лимфоцитов в периферической крови</w:t>
      </w:r>
    </w:p>
    <w:p w14:paraId="30BCDA5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36.</w:t>
      </w:r>
      <w:r>
        <w:tab/>
      </w:r>
      <w:proofErr w:type="spellStart"/>
      <w:r>
        <w:t>Лимфопения</w:t>
      </w:r>
      <w:proofErr w:type="spellEnd"/>
      <w:r>
        <w:t>. Причины возникновения.</w:t>
      </w:r>
    </w:p>
    <w:p w14:paraId="5810DAA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37.</w:t>
      </w:r>
      <w:r>
        <w:tab/>
      </w:r>
      <w:proofErr w:type="spellStart"/>
      <w:r>
        <w:t>Моноцитоз</w:t>
      </w:r>
      <w:proofErr w:type="spellEnd"/>
      <w:r>
        <w:t>. Причины возникновения. Нормы содержания в периферической крови</w:t>
      </w:r>
    </w:p>
    <w:p w14:paraId="19A00D9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38.</w:t>
      </w:r>
      <w:r>
        <w:tab/>
        <w:t>Камера Горяева. Подсчёт лейкоцитов и эритроцитов в камере Горяева.</w:t>
      </w:r>
    </w:p>
    <w:p w14:paraId="2C36D93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39.</w:t>
      </w:r>
      <w:r>
        <w:tab/>
        <w:t>Камера Горяева. Методика заполнения камеры Горяева.</w:t>
      </w:r>
    </w:p>
    <w:p w14:paraId="4F37C7A8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40.</w:t>
      </w:r>
      <w:r>
        <w:tab/>
        <w:t>Изменение СОЭ при различных патологических состояниях.</w:t>
      </w:r>
    </w:p>
    <w:p w14:paraId="29F3461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41.</w:t>
      </w:r>
      <w:r>
        <w:tab/>
        <w:t>Анемии. Классификация анемий.</w:t>
      </w:r>
    </w:p>
    <w:p w14:paraId="74D55DF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42.</w:t>
      </w:r>
      <w:r>
        <w:tab/>
        <w:t>Лабораторная диагностика анемий.</w:t>
      </w:r>
    </w:p>
    <w:p w14:paraId="3883872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43.</w:t>
      </w:r>
      <w:r>
        <w:tab/>
        <w:t>Лейкозы. Классификация лейкозов.</w:t>
      </w:r>
    </w:p>
    <w:p w14:paraId="28E3DD1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44.</w:t>
      </w:r>
      <w:r>
        <w:tab/>
        <w:t>Лабораторная диагностика лейкозов.</w:t>
      </w:r>
    </w:p>
    <w:p w14:paraId="48A6C9D3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45.</w:t>
      </w:r>
      <w:r>
        <w:tab/>
        <w:t>Острый лейкоз. Лабораторная диагностика.</w:t>
      </w:r>
    </w:p>
    <w:p w14:paraId="41997C2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46.</w:t>
      </w:r>
      <w:r>
        <w:tab/>
      </w:r>
      <w:proofErr w:type="spellStart"/>
      <w:r>
        <w:t>Лейкемоидные</w:t>
      </w:r>
      <w:proofErr w:type="spellEnd"/>
      <w:r>
        <w:t xml:space="preserve"> реакции. Лабораторная диагностика.</w:t>
      </w:r>
    </w:p>
    <w:p w14:paraId="383C5EC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47.</w:t>
      </w:r>
      <w:r>
        <w:tab/>
        <w:t>Хронические лейкозы. Лабораторная диагностика.</w:t>
      </w:r>
    </w:p>
    <w:p w14:paraId="7F0CA8C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48.</w:t>
      </w:r>
      <w:r>
        <w:tab/>
        <w:t>Железодефицитная анемия. Патогенез. Лабораторная диагностика.</w:t>
      </w:r>
    </w:p>
    <w:p w14:paraId="23B37B6A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49.</w:t>
      </w:r>
      <w:r>
        <w:tab/>
      </w:r>
      <w:proofErr w:type="spellStart"/>
      <w:r>
        <w:t>Апластическая</w:t>
      </w:r>
      <w:proofErr w:type="spellEnd"/>
      <w:r>
        <w:t xml:space="preserve"> анемия. Лабораторная диагностика.</w:t>
      </w:r>
    </w:p>
    <w:p w14:paraId="37925013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50.</w:t>
      </w:r>
      <w:r>
        <w:tab/>
        <w:t>Методы забора и исследования костного мозга для гематологических исследований.</w:t>
      </w:r>
    </w:p>
    <w:p w14:paraId="0316B61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51.</w:t>
      </w:r>
      <w:r>
        <w:tab/>
        <w:t>Роль этиологических факторов в возникновении лейкозов.</w:t>
      </w:r>
    </w:p>
    <w:p w14:paraId="1953FA8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52.</w:t>
      </w:r>
      <w:r>
        <w:tab/>
      </w:r>
      <w:proofErr w:type="spellStart"/>
      <w:r>
        <w:t>Апластические</w:t>
      </w:r>
      <w:proofErr w:type="spellEnd"/>
      <w:r>
        <w:t xml:space="preserve"> состояния в гематологии и их лабораторная диагностика.</w:t>
      </w:r>
    </w:p>
    <w:p w14:paraId="45BFD289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53.</w:t>
      </w:r>
      <w:r>
        <w:tab/>
        <w:t>Гематологические показатели у детей в различные возрастные периоды.</w:t>
      </w:r>
    </w:p>
    <w:p w14:paraId="6AFC9E0B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54.</w:t>
      </w:r>
      <w:r>
        <w:tab/>
        <w:t xml:space="preserve">Этиология инфекционного мононуклеоза. Лабораторная диагностика инфекционного мононуклеоза. </w:t>
      </w:r>
    </w:p>
    <w:p w14:paraId="784808C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55.</w:t>
      </w:r>
      <w:r>
        <w:tab/>
      </w:r>
      <w:proofErr w:type="spellStart"/>
      <w:r>
        <w:t>Эозинофилии</w:t>
      </w:r>
      <w:proofErr w:type="spellEnd"/>
      <w:r>
        <w:t xml:space="preserve">. Причины </w:t>
      </w:r>
      <w:proofErr w:type="spellStart"/>
      <w:r>
        <w:t>эозинофилии</w:t>
      </w:r>
      <w:proofErr w:type="spellEnd"/>
      <w:r>
        <w:t>.</w:t>
      </w:r>
    </w:p>
    <w:p w14:paraId="7E849838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56.</w:t>
      </w:r>
      <w:r>
        <w:tab/>
      </w:r>
      <w:proofErr w:type="spellStart"/>
      <w:r>
        <w:t>Моницитозы</w:t>
      </w:r>
      <w:proofErr w:type="spellEnd"/>
      <w:r>
        <w:t xml:space="preserve">. Причины </w:t>
      </w:r>
      <w:proofErr w:type="spellStart"/>
      <w:r>
        <w:t>моноцитозов</w:t>
      </w:r>
      <w:proofErr w:type="spellEnd"/>
      <w:r>
        <w:t>.</w:t>
      </w:r>
    </w:p>
    <w:p w14:paraId="3FD0A0E4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57.</w:t>
      </w:r>
      <w:r>
        <w:tab/>
      </w:r>
      <w:proofErr w:type="spellStart"/>
      <w:r>
        <w:t>Нейтропении</w:t>
      </w:r>
      <w:proofErr w:type="spellEnd"/>
      <w:r>
        <w:t xml:space="preserve">. Причины </w:t>
      </w:r>
      <w:proofErr w:type="spellStart"/>
      <w:r>
        <w:t>нейтропений</w:t>
      </w:r>
      <w:proofErr w:type="spellEnd"/>
      <w:r>
        <w:t>.</w:t>
      </w:r>
    </w:p>
    <w:p w14:paraId="41B9311B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58.</w:t>
      </w:r>
      <w:r>
        <w:tab/>
      </w:r>
      <w:proofErr w:type="spellStart"/>
      <w:r>
        <w:t>Нейтрофилезы</w:t>
      </w:r>
      <w:proofErr w:type="spellEnd"/>
      <w:r>
        <w:t xml:space="preserve">. Причины </w:t>
      </w:r>
      <w:proofErr w:type="spellStart"/>
      <w:r>
        <w:t>нейтрофилезов</w:t>
      </w:r>
      <w:proofErr w:type="spellEnd"/>
      <w:r>
        <w:t>.</w:t>
      </w:r>
    </w:p>
    <w:p w14:paraId="789DB05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59.</w:t>
      </w:r>
      <w:r>
        <w:tab/>
        <w:t>Лимфоцитозы. Причины лимфоцитозов.</w:t>
      </w:r>
    </w:p>
    <w:p w14:paraId="54823FF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60.</w:t>
      </w:r>
      <w:r>
        <w:tab/>
      </w:r>
      <w:proofErr w:type="spellStart"/>
      <w:r>
        <w:t>Лимфоцитопении</w:t>
      </w:r>
      <w:proofErr w:type="spellEnd"/>
      <w:r>
        <w:t xml:space="preserve">. Причины </w:t>
      </w:r>
      <w:proofErr w:type="spellStart"/>
      <w:r>
        <w:t>лимфоцитопений</w:t>
      </w:r>
      <w:proofErr w:type="spellEnd"/>
      <w:r>
        <w:t>.</w:t>
      </w:r>
    </w:p>
    <w:p w14:paraId="23DD8CA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61.</w:t>
      </w:r>
      <w:r>
        <w:tab/>
      </w:r>
      <w:proofErr w:type="spellStart"/>
      <w:r>
        <w:t>Референсные</w:t>
      </w:r>
      <w:proofErr w:type="spellEnd"/>
      <w:r>
        <w:t xml:space="preserve"> показатели клеточного состава периферической крови у новорожденных.</w:t>
      </w:r>
    </w:p>
    <w:p w14:paraId="056A926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62.</w:t>
      </w:r>
      <w:r>
        <w:tab/>
      </w:r>
      <w:proofErr w:type="spellStart"/>
      <w:r>
        <w:t>Референсные</w:t>
      </w:r>
      <w:proofErr w:type="spellEnd"/>
      <w:r>
        <w:t xml:space="preserve"> показатели клеточного состава периферической крови у взрослых.</w:t>
      </w:r>
    </w:p>
    <w:p w14:paraId="648047A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63.</w:t>
      </w:r>
      <w:r>
        <w:tab/>
        <w:t>Роль лимфоцитов как клеток эффекторов иммунной системы.</w:t>
      </w:r>
    </w:p>
    <w:p w14:paraId="284A76CA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64.</w:t>
      </w:r>
      <w:r>
        <w:tab/>
        <w:t xml:space="preserve">Современные методы исследования в гематологии (цитохимия, проточная </w:t>
      </w:r>
      <w:proofErr w:type="spellStart"/>
      <w:r>
        <w:t>цитометрия</w:t>
      </w:r>
      <w:proofErr w:type="spellEnd"/>
      <w:r>
        <w:t>).</w:t>
      </w:r>
    </w:p>
    <w:p w14:paraId="4BBBED09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65.</w:t>
      </w:r>
      <w:r>
        <w:tab/>
        <w:t>Гематологические показатели, характеризующие изменения крови при железодефицитной анемии.</w:t>
      </w:r>
    </w:p>
    <w:p w14:paraId="0381615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66.</w:t>
      </w:r>
      <w:r>
        <w:tab/>
        <w:t>Методы приготовления и окраски препаратов костного мозга</w:t>
      </w:r>
    </w:p>
    <w:p w14:paraId="157F1B3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67.</w:t>
      </w:r>
      <w:r>
        <w:tab/>
        <w:t>Лейкозы. Этиология патогенез. Лабораторная диагностика</w:t>
      </w:r>
    </w:p>
    <w:p w14:paraId="484509EA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68.</w:t>
      </w:r>
      <w:r>
        <w:tab/>
        <w:t>Лабораторная диагностика острых лейкозов</w:t>
      </w:r>
    </w:p>
    <w:p w14:paraId="1B9A4188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69.</w:t>
      </w:r>
      <w:r>
        <w:tab/>
        <w:t>Лабораторная диагностика хронических лейкозов</w:t>
      </w:r>
    </w:p>
    <w:p w14:paraId="07D0CAF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70.</w:t>
      </w:r>
      <w:r>
        <w:tab/>
        <w:t>Гемоглобин. Строение. Функции. Биологическая роль</w:t>
      </w:r>
    </w:p>
    <w:p w14:paraId="7007F17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71.</w:t>
      </w:r>
      <w:r>
        <w:tab/>
      </w:r>
      <w:proofErr w:type="spellStart"/>
      <w:r>
        <w:t>Гематокритная</w:t>
      </w:r>
      <w:proofErr w:type="spellEnd"/>
      <w:r>
        <w:t xml:space="preserve"> величина. Вычисление </w:t>
      </w:r>
      <w:proofErr w:type="spellStart"/>
      <w:r>
        <w:t>гематокритной</w:t>
      </w:r>
      <w:proofErr w:type="spellEnd"/>
      <w:r>
        <w:t xml:space="preserve"> величины</w:t>
      </w:r>
    </w:p>
    <w:p w14:paraId="7BC6A2B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72.</w:t>
      </w:r>
      <w:r>
        <w:tab/>
        <w:t>Использование гематологических анализаторов при выполнении исследований</w:t>
      </w:r>
    </w:p>
    <w:p w14:paraId="0E5C38F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73.</w:t>
      </w:r>
      <w:r>
        <w:tab/>
        <w:t xml:space="preserve">Проточная </w:t>
      </w:r>
      <w:proofErr w:type="spellStart"/>
      <w:r>
        <w:t>цитометрия</w:t>
      </w:r>
      <w:proofErr w:type="spellEnd"/>
      <w:r>
        <w:t xml:space="preserve"> в лабораторной диагностике заболеваний крови</w:t>
      </w:r>
    </w:p>
    <w:p w14:paraId="03014AE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74.</w:t>
      </w:r>
      <w:r>
        <w:tab/>
        <w:t>Резус фактор. Методы определения</w:t>
      </w:r>
    </w:p>
    <w:p w14:paraId="63A308C2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lastRenderedPageBreak/>
        <w:t>75.</w:t>
      </w:r>
      <w:r>
        <w:tab/>
        <w:t>Группы крови. Методы определения</w:t>
      </w:r>
    </w:p>
    <w:p w14:paraId="0093E4F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76.</w:t>
      </w:r>
      <w:r>
        <w:tab/>
        <w:t xml:space="preserve">Цель задачи и перспективы развития </w:t>
      </w:r>
      <w:proofErr w:type="spellStart"/>
      <w:r>
        <w:t>изосерологии</w:t>
      </w:r>
      <w:proofErr w:type="spellEnd"/>
      <w:r>
        <w:t xml:space="preserve">. Методы </w:t>
      </w:r>
      <w:proofErr w:type="spellStart"/>
      <w:r>
        <w:t>изосерологии</w:t>
      </w:r>
      <w:proofErr w:type="spellEnd"/>
    </w:p>
    <w:p w14:paraId="44C33364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77.</w:t>
      </w:r>
      <w:r>
        <w:tab/>
        <w:t>Методы определения гемоглобина крови</w:t>
      </w:r>
    </w:p>
    <w:p w14:paraId="0F97598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78.</w:t>
      </w:r>
      <w:r>
        <w:tab/>
        <w:t>Методы окраски препаратов крови. Виды красителей</w:t>
      </w:r>
    </w:p>
    <w:p w14:paraId="3C513E18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79.</w:t>
      </w:r>
      <w:r>
        <w:tab/>
        <w:t>Нейтрофильные гранулоциты. Фагоцитоз. Стадии фагоцитоза</w:t>
      </w:r>
    </w:p>
    <w:p w14:paraId="13C7FA3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80.</w:t>
      </w:r>
      <w:r>
        <w:tab/>
        <w:t>Фиксация препаратов крови и костного мозга. Методы фиксации препаратов крови и костного мозга</w:t>
      </w:r>
    </w:p>
    <w:p w14:paraId="79D694C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81.</w:t>
      </w:r>
      <w:r>
        <w:tab/>
        <w:t>Лейкоцитарная формула крови. Методы подсчета. Сдвиги показателей лейкоцитарной формулы</w:t>
      </w:r>
    </w:p>
    <w:p w14:paraId="381661B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82.</w:t>
      </w:r>
      <w:r>
        <w:tab/>
        <w:t>Т-лимфоциты. В-лимфоциты. Функциональные особенности</w:t>
      </w:r>
    </w:p>
    <w:p w14:paraId="4DB0B2E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83.</w:t>
      </w:r>
      <w:r>
        <w:tab/>
        <w:t>Гематологические параметры, определяемые гематологическим анализатором. Их характеристика</w:t>
      </w:r>
    </w:p>
    <w:p w14:paraId="0ECD267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84.</w:t>
      </w:r>
      <w:r>
        <w:tab/>
        <w:t xml:space="preserve">Группы крови и резус фактор: алгоритм определения с использованием </w:t>
      </w:r>
      <w:proofErr w:type="spellStart"/>
      <w:r>
        <w:t>моноклональных</w:t>
      </w:r>
      <w:proofErr w:type="spellEnd"/>
      <w:r>
        <w:t xml:space="preserve"> антител</w:t>
      </w:r>
    </w:p>
    <w:p w14:paraId="6F483F39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85.</w:t>
      </w:r>
      <w:r>
        <w:tab/>
        <w:t>Стандартизация условий взятия биологического материала для проведения гематологических исследований</w:t>
      </w:r>
    </w:p>
    <w:p w14:paraId="41AE51D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86.</w:t>
      </w:r>
      <w:r>
        <w:tab/>
        <w:t>Аварийная ситуация в КДЛ. Методы предотвращения и действий в аварийных ситуациях</w:t>
      </w:r>
    </w:p>
    <w:p w14:paraId="578565D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87.</w:t>
      </w:r>
      <w:r>
        <w:tab/>
        <w:t>Дезинфекция и стерилизация к клинико-диагностической лаборатории</w:t>
      </w:r>
    </w:p>
    <w:p w14:paraId="339FC0D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88.</w:t>
      </w:r>
      <w:r>
        <w:tab/>
        <w:t>Деонтология в работе медицинского лабораторного техника</w:t>
      </w:r>
    </w:p>
    <w:p w14:paraId="12B4ED1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89.</w:t>
      </w:r>
      <w:r>
        <w:tab/>
        <w:t>Биоэтика. Роль биоэтики в формировании медицинского лабораторного техника</w:t>
      </w:r>
    </w:p>
    <w:p w14:paraId="41F94D8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90.</w:t>
      </w:r>
      <w:r>
        <w:tab/>
        <w:t xml:space="preserve">Учётная и отчётная документация в клинико-диагностической лаборатории при </w:t>
      </w:r>
      <w:proofErr w:type="spellStart"/>
      <w:r>
        <w:t>проведениигематологических</w:t>
      </w:r>
      <w:proofErr w:type="spellEnd"/>
      <w:r>
        <w:t xml:space="preserve"> исследований</w:t>
      </w:r>
    </w:p>
    <w:p w14:paraId="1420CFC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91.</w:t>
      </w:r>
      <w:r>
        <w:tab/>
        <w:t xml:space="preserve">Лабораторно-информационная </w:t>
      </w:r>
      <w:proofErr w:type="spellStart"/>
      <w:r>
        <w:t>системав</w:t>
      </w:r>
      <w:proofErr w:type="spellEnd"/>
      <w:r>
        <w:t xml:space="preserve"> клинико-диагностической лаборатории при проведении гематологических исследований</w:t>
      </w:r>
    </w:p>
    <w:p w14:paraId="49D09A14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92.</w:t>
      </w:r>
      <w:r>
        <w:tab/>
        <w:t>Тромбоцитоз. Причины возникновения. Нормы содержания   тромбоцитов в периферической крови</w:t>
      </w:r>
    </w:p>
    <w:p w14:paraId="62B3CA5B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93.</w:t>
      </w:r>
      <w:r>
        <w:tab/>
        <w:t>Эритремии. Лабораторная диагностика</w:t>
      </w:r>
    </w:p>
    <w:p w14:paraId="2666DDC7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94.</w:t>
      </w:r>
      <w:r>
        <w:tab/>
        <w:t>Обеспечение качества лабораторных исследований при проведении микроскопических гематологических исследований</w:t>
      </w:r>
    </w:p>
    <w:p w14:paraId="5356D12A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95.</w:t>
      </w:r>
      <w:r>
        <w:tab/>
        <w:t>Скорость оседания эритроцитов</w:t>
      </w:r>
    </w:p>
    <w:p w14:paraId="44A3291A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96.</w:t>
      </w:r>
      <w:r>
        <w:tab/>
        <w:t xml:space="preserve">Техника окрашивания препаратов костного мозга. Техника </w:t>
      </w:r>
      <w:proofErr w:type="spellStart"/>
      <w:r>
        <w:t>микроскопирования</w:t>
      </w:r>
      <w:proofErr w:type="spellEnd"/>
      <w:r>
        <w:t xml:space="preserve"> препаратов костного мозга</w:t>
      </w:r>
    </w:p>
    <w:p w14:paraId="426C930D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97.</w:t>
      </w:r>
      <w:r>
        <w:tab/>
        <w:t>Проведение комплекса лабораторных методов исследования костного мозга, устанавливающих наличие и характер лейкоза.</w:t>
      </w:r>
    </w:p>
    <w:p w14:paraId="5A5233E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98.</w:t>
      </w:r>
      <w:r>
        <w:tab/>
      </w:r>
      <w:proofErr w:type="spellStart"/>
      <w:r>
        <w:t>Миелограмма</w:t>
      </w:r>
      <w:proofErr w:type="spellEnd"/>
      <w:r>
        <w:t xml:space="preserve"> в норме и при патологии</w:t>
      </w:r>
    </w:p>
    <w:p w14:paraId="1E9F4C57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99.</w:t>
      </w:r>
      <w:r>
        <w:tab/>
        <w:t>Костный мозг. Строение. Функции</w:t>
      </w:r>
    </w:p>
    <w:p w14:paraId="60406A63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100.</w:t>
      </w:r>
      <w:r>
        <w:tab/>
        <w:t>Лабораторная диагностика реактивных состояний крови</w:t>
      </w:r>
    </w:p>
    <w:p w14:paraId="223E4E6E" w14:textId="77777777" w:rsidR="005773AC" w:rsidRDefault="005773AC" w:rsidP="00390208">
      <w:pPr>
        <w:spacing w:after="0" w:line="240" w:lineRule="auto"/>
        <w:ind w:left="680" w:hanging="340"/>
        <w:jc w:val="both"/>
      </w:pPr>
    </w:p>
    <w:p w14:paraId="4B538C1B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Практические навыки</w:t>
      </w:r>
    </w:p>
    <w:p w14:paraId="5F32BFD9" w14:textId="77777777" w:rsidR="005773AC" w:rsidRDefault="005773AC" w:rsidP="00390208">
      <w:pPr>
        <w:spacing w:after="0" w:line="240" w:lineRule="auto"/>
        <w:ind w:left="680" w:hanging="340"/>
        <w:jc w:val="both"/>
      </w:pPr>
    </w:p>
    <w:p w14:paraId="38F6D21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1. Прием биоматериала</w:t>
      </w:r>
    </w:p>
    <w:p w14:paraId="6FE638D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2. Регистрация биоматериала в журнале и (или) в информационной системе</w:t>
      </w:r>
    </w:p>
    <w:p w14:paraId="6E1F2EF9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3. Маркировка, транспортировка и хранение биоматериала</w:t>
      </w:r>
    </w:p>
    <w:p w14:paraId="3D5A005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4. Отбраковке биоматериала, не соответствующего установленным требованиям и оформление отбракованных проб</w:t>
      </w:r>
    </w:p>
    <w:p w14:paraId="40CCDE0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5. Подготовка биоматериала к исследованию (</w:t>
      </w:r>
      <w:proofErr w:type="spellStart"/>
      <w:r>
        <w:t>пробоподготовка</w:t>
      </w:r>
      <w:proofErr w:type="spellEnd"/>
      <w:r>
        <w:t>)</w:t>
      </w:r>
    </w:p>
    <w:p w14:paraId="0E6DADA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6. Использование медицинских, лабораторных информационных систем</w:t>
      </w:r>
    </w:p>
    <w:p w14:paraId="20AA7DC3" w14:textId="7107C44A" w:rsidR="005773AC" w:rsidRDefault="005773AC" w:rsidP="00390208">
      <w:pPr>
        <w:spacing w:after="0" w:line="240" w:lineRule="auto"/>
        <w:ind w:left="680" w:hanging="340"/>
        <w:jc w:val="both"/>
      </w:pPr>
      <w:r>
        <w:t>7. Выполнение санитарных норм и правил при работе с потенциально опасным биоматериалом;</w:t>
      </w:r>
    </w:p>
    <w:p w14:paraId="47A762E1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 xml:space="preserve">8. Выполнение правил санитарно-противоэпидемического и гигиенического режима в лаборатории; </w:t>
      </w:r>
    </w:p>
    <w:p w14:paraId="7B891EB0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9. Производить взятие капиллярной крови с помощью вакуумных систем и без вакуумных систем для лабораторного исследования</w:t>
      </w:r>
    </w:p>
    <w:p w14:paraId="566B34AE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lastRenderedPageBreak/>
        <w:t>10. Готовить рабочее место для проведения общего анализа крови и дополнительных исследований</w:t>
      </w:r>
    </w:p>
    <w:p w14:paraId="69D0E308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11. Проводить общий анализ крови и дополнительные исследования</w:t>
      </w:r>
    </w:p>
    <w:p w14:paraId="0DA2925C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12. Дифференцировать различные виды лейкоцитов в мазках крови</w:t>
      </w:r>
    </w:p>
    <w:p w14:paraId="30D58ED7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13. Дифференцировать дегенеративные изменения лейкоцитов в мазках крови при патологических состояниях</w:t>
      </w:r>
    </w:p>
    <w:p w14:paraId="0BD5A986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14. Дифференцировать патологические изменения эритроцитов в мазках крови при анемиях различного генеза</w:t>
      </w:r>
    </w:p>
    <w:p w14:paraId="1ED51DDF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15. Дифференцировать патологические изменения тромбоцитов в мазках крови при патологических состояниях</w:t>
      </w:r>
    </w:p>
    <w:p w14:paraId="70E7C395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16. Проводить определение резус - фактора и групп крови по системе АВО</w:t>
      </w:r>
    </w:p>
    <w:p w14:paraId="06472797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17. Работать на гематологических анализаторах</w:t>
      </w:r>
    </w:p>
    <w:p w14:paraId="72C67417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18. Определение норм показателей крови в лабораторном бланке гематологического анализатора</w:t>
      </w:r>
    </w:p>
    <w:p w14:paraId="426084F3" w14:textId="77777777" w:rsidR="005773AC" w:rsidRDefault="005773AC" w:rsidP="00390208">
      <w:pPr>
        <w:spacing w:after="0" w:line="240" w:lineRule="auto"/>
        <w:ind w:left="680" w:hanging="340"/>
        <w:jc w:val="both"/>
      </w:pPr>
      <w:r>
        <w:t>19. Проводить контроль качества гематологических исследований</w:t>
      </w:r>
    </w:p>
    <w:p w14:paraId="0BD93C04" w14:textId="77777777" w:rsidR="00293526" w:rsidRDefault="005773AC" w:rsidP="00390208">
      <w:pPr>
        <w:spacing w:after="0" w:line="240" w:lineRule="auto"/>
        <w:ind w:left="680" w:hanging="340"/>
        <w:jc w:val="both"/>
      </w:pPr>
      <w:r>
        <w:t>20. Заполнять и вести медицинскую документацию, в том числе в форме электронного документа</w:t>
      </w:r>
    </w:p>
    <w:sectPr w:rsidR="00293526" w:rsidSect="003902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55"/>
    <w:rsid w:val="000E105A"/>
    <w:rsid w:val="00293526"/>
    <w:rsid w:val="00390208"/>
    <w:rsid w:val="005773AC"/>
    <w:rsid w:val="00756C03"/>
    <w:rsid w:val="00A43655"/>
    <w:rsid w:val="00A91FAD"/>
    <w:rsid w:val="00A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0EBC"/>
  <w15:chartTrackingRefBased/>
  <w15:docId w15:val="{72B90C09-F4FA-4BFF-84B1-C8D8085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7</cp:revision>
  <dcterms:created xsi:type="dcterms:W3CDTF">2025-04-01T04:53:00Z</dcterms:created>
  <dcterms:modified xsi:type="dcterms:W3CDTF">2025-04-21T13:30:00Z</dcterms:modified>
</cp:coreProperties>
</file>