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BC463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ШКАЛЫ ОЦЕНКИ СОСТОЯНИЯ ПАЦИЕНТОВ </w:t>
      </w:r>
    </w:p>
    <w:p w14:paraId="3FFAD8F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ИНТЕРПРЕТАЦИЯ И РЕКОМЕНДАЦИИ К ПРИНЯТИЮ РЕШЕНИЯ</w:t>
      </w:r>
    </w:p>
    <w:p w14:paraId="1BB7085D">
      <w:pPr>
        <w:pStyle w:val="13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Шкала оценки ком Глазго (ШКГ,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GCS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)*  </w:t>
      </w:r>
    </w:p>
    <w:tbl>
      <w:tblPr>
        <w:tblStyle w:val="3"/>
        <w:tblW w:w="8869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11"/>
        <w:gridCol w:w="2281"/>
        <w:gridCol w:w="2127"/>
        <w:gridCol w:w="3350"/>
      </w:tblGrid>
      <w:tr w14:paraId="4417E3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1111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14:paraId="7E195B7E">
            <w:pPr>
              <w:spacing w:after="0" w:line="240" w:lineRule="auto"/>
              <w:jc w:val="center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2060"/>
                <w:kern w:val="24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22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14:paraId="3EE35003">
            <w:pPr>
              <w:spacing w:after="0" w:line="240" w:lineRule="auto"/>
              <w:jc w:val="center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2060"/>
                <w:kern w:val="24"/>
                <w:sz w:val="24"/>
                <w:szCs w:val="24"/>
                <w:lang w:eastAsia="ru-RU"/>
              </w:rPr>
              <w:t>Открывание глаз</w:t>
            </w:r>
            <w:r>
              <w:rPr>
                <w:rFonts w:ascii="Times New Roman" w:hAnsi="Times New Roman" w:eastAsia="Times New Roman" w:cs="Times New Roman"/>
                <w:color w:val="002060"/>
                <w:kern w:val="24"/>
                <w:sz w:val="24"/>
                <w:szCs w:val="24"/>
                <w:lang w:eastAsia="ru-RU"/>
              </w:rPr>
              <w:t xml:space="preserve"> (Eye response)</w:t>
            </w:r>
          </w:p>
        </w:tc>
        <w:tc>
          <w:tcPr>
            <w:tcW w:w="212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14:paraId="5B7C5D4F">
            <w:pPr>
              <w:spacing w:after="0" w:line="240" w:lineRule="auto"/>
              <w:jc w:val="center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2060"/>
                <w:kern w:val="24"/>
                <w:sz w:val="24"/>
                <w:szCs w:val="24"/>
                <w:lang w:eastAsia="ru-RU"/>
              </w:rPr>
              <w:t>Речевая реакция</w:t>
            </w:r>
            <w:r>
              <w:rPr>
                <w:rFonts w:ascii="Times New Roman" w:hAnsi="Times New Roman" w:eastAsia="Times New Roman" w:cs="Times New Roman"/>
                <w:color w:val="002060"/>
                <w:kern w:val="24"/>
                <w:sz w:val="24"/>
                <w:szCs w:val="24"/>
                <w:lang w:eastAsia="ru-RU"/>
              </w:rPr>
              <w:t xml:space="preserve"> (Verbal response)</w:t>
            </w:r>
          </w:p>
        </w:tc>
        <w:tc>
          <w:tcPr>
            <w:tcW w:w="33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14:paraId="3397C06C">
            <w:pPr>
              <w:spacing w:after="0" w:line="240" w:lineRule="auto"/>
              <w:jc w:val="center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2060"/>
                <w:kern w:val="24"/>
                <w:sz w:val="24"/>
                <w:szCs w:val="24"/>
                <w:lang w:eastAsia="ru-RU"/>
              </w:rPr>
              <w:t>Двигательная реакция</w:t>
            </w:r>
            <w:r>
              <w:rPr>
                <w:rFonts w:ascii="Times New Roman" w:hAnsi="Times New Roman" w:eastAsia="Times New Roman" w:cs="Times New Roman"/>
                <w:color w:val="002060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14:paraId="1291D880">
            <w:pPr>
              <w:spacing w:after="0" w:line="240" w:lineRule="auto"/>
              <w:jc w:val="center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2060"/>
                <w:kern w:val="24"/>
                <w:sz w:val="24"/>
                <w:szCs w:val="24"/>
                <w:lang w:eastAsia="ru-RU"/>
              </w:rPr>
              <w:t>(Motor response)</w:t>
            </w:r>
          </w:p>
        </w:tc>
      </w:tr>
      <w:tr w14:paraId="0939165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0" w:type="auto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FD0D1D4">
            <w:pPr>
              <w:spacing w:after="0" w:line="240" w:lineRule="auto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22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14:paraId="1E9B773B">
            <w:pPr>
              <w:spacing w:after="0" w:line="240" w:lineRule="auto"/>
              <w:jc w:val="center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2060"/>
                <w:kern w:val="24"/>
                <w:sz w:val="24"/>
                <w:szCs w:val="24"/>
                <w:lang w:eastAsia="ru-RU"/>
              </w:rPr>
              <w:t>E</w:t>
            </w:r>
          </w:p>
        </w:tc>
        <w:tc>
          <w:tcPr>
            <w:tcW w:w="212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14:paraId="71FDEDF4">
            <w:pPr>
              <w:spacing w:after="0" w:line="240" w:lineRule="auto"/>
              <w:jc w:val="center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2060"/>
                <w:kern w:val="24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33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14:paraId="416E086F">
            <w:pPr>
              <w:spacing w:after="0" w:line="240" w:lineRule="auto"/>
              <w:jc w:val="center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2060"/>
                <w:kern w:val="24"/>
                <w:sz w:val="24"/>
                <w:szCs w:val="24"/>
                <w:lang w:eastAsia="ru-RU"/>
              </w:rPr>
              <w:t>M</w:t>
            </w:r>
          </w:p>
        </w:tc>
      </w:tr>
      <w:tr w14:paraId="364E4C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11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14:paraId="62FB8B11">
            <w:pPr>
              <w:spacing w:after="0" w:line="240" w:lineRule="auto"/>
              <w:jc w:val="center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206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14:paraId="2FFD7002">
            <w:pPr>
              <w:spacing w:after="0" w:line="240" w:lineRule="auto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2060"/>
                <w:kern w:val="24"/>
                <w:sz w:val="24"/>
                <w:szCs w:val="24"/>
                <w:lang w:eastAsia="ru-RU"/>
              </w:rPr>
              <w:t>Не открывает глаза</w:t>
            </w:r>
          </w:p>
        </w:tc>
        <w:tc>
          <w:tcPr>
            <w:tcW w:w="212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14:paraId="4D31DE5D">
            <w:pPr>
              <w:spacing w:after="0" w:line="240" w:lineRule="auto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2060"/>
                <w:kern w:val="24"/>
                <w:sz w:val="24"/>
                <w:szCs w:val="24"/>
                <w:lang w:eastAsia="ru-RU"/>
              </w:rPr>
              <w:t>Не произносит звуки</w:t>
            </w:r>
          </w:p>
        </w:tc>
        <w:tc>
          <w:tcPr>
            <w:tcW w:w="33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14:paraId="0DDABA26">
            <w:pPr>
              <w:spacing w:after="0" w:line="240" w:lineRule="auto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2060"/>
                <w:kern w:val="24"/>
                <w:sz w:val="24"/>
                <w:szCs w:val="24"/>
                <w:lang w:eastAsia="ru-RU"/>
              </w:rPr>
              <w:t xml:space="preserve">Не двигается </w:t>
            </w:r>
          </w:p>
        </w:tc>
      </w:tr>
      <w:tr w14:paraId="654C29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3" w:hRule="atLeast"/>
        </w:trPr>
        <w:tc>
          <w:tcPr>
            <w:tcW w:w="11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14:paraId="6D57FEC8">
            <w:pPr>
              <w:spacing w:after="0" w:line="240" w:lineRule="auto"/>
              <w:jc w:val="center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2060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14:paraId="4A1EC388">
            <w:pPr>
              <w:spacing w:after="0" w:line="240" w:lineRule="auto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2060"/>
                <w:kern w:val="24"/>
                <w:sz w:val="24"/>
                <w:szCs w:val="24"/>
                <w:lang w:eastAsia="ru-RU"/>
              </w:rPr>
              <w:t xml:space="preserve">Открывает глаза на болевой раздражитель </w:t>
            </w:r>
          </w:p>
        </w:tc>
        <w:tc>
          <w:tcPr>
            <w:tcW w:w="212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14:paraId="1ED591A6">
            <w:pPr>
              <w:spacing w:after="0" w:line="240" w:lineRule="auto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2060"/>
                <w:kern w:val="24"/>
                <w:sz w:val="24"/>
                <w:szCs w:val="24"/>
                <w:lang w:eastAsia="ru-RU"/>
              </w:rPr>
              <w:t xml:space="preserve">Издает звуки, </w:t>
            </w:r>
          </w:p>
          <w:p w14:paraId="5C9CA2DC">
            <w:pPr>
              <w:spacing w:after="0" w:line="240" w:lineRule="auto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2060"/>
                <w:kern w:val="24"/>
                <w:sz w:val="24"/>
                <w:szCs w:val="24"/>
                <w:lang w:eastAsia="ru-RU"/>
              </w:rPr>
              <w:t>но не слова</w:t>
            </w:r>
          </w:p>
        </w:tc>
        <w:tc>
          <w:tcPr>
            <w:tcW w:w="33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14:paraId="785BC788">
            <w:pPr>
              <w:spacing w:after="0" w:line="240" w:lineRule="auto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2060"/>
                <w:kern w:val="24"/>
                <w:sz w:val="24"/>
                <w:szCs w:val="24"/>
                <w:lang w:eastAsia="ru-RU"/>
              </w:rPr>
              <w:t xml:space="preserve">Патологическое разгибание </w:t>
            </w:r>
          </w:p>
          <w:p w14:paraId="4B58E72E">
            <w:pPr>
              <w:spacing w:after="0" w:line="240" w:lineRule="auto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2060"/>
                <w:kern w:val="24"/>
                <w:sz w:val="24"/>
                <w:szCs w:val="24"/>
                <w:lang w:eastAsia="ru-RU"/>
              </w:rPr>
              <w:t>в ответ на болевой раздражитель (децеребрационная ригидность)</w:t>
            </w:r>
          </w:p>
        </w:tc>
      </w:tr>
      <w:tr w14:paraId="507A317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8" w:hRule="atLeast"/>
        </w:trPr>
        <w:tc>
          <w:tcPr>
            <w:tcW w:w="11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14:paraId="000DBA2E">
            <w:pPr>
              <w:spacing w:after="0" w:line="240" w:lineRule="auto"/>
              <w:jc w:val="center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2060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14:paraId="429625EF">
            <w:pPr>
              <w:spacing w:after="0" w:line="240" w:lineRule="auto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2060"/>
                <w:kern w:val="24"/>
                <w:sz w:val="24"/>
                <w:szCs w:val="24"/>
                <w:lang w:eastAsia="ru-RU"/>
              </w:rPr>
              <w:t>Открывает глаза в ответ на голос</w:t>
            </w:r>
          </w:p>
        </w:tc>
        <w:tc>
          <w:tcPr>
            <w:tcW w:w="212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14:paraId="2E7F3328">
            <w:pPr>
              <w:spacing w:after="0" w:line="240" w:lineRule="auto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2060"/>
                <w:kern w:val="24"/>
                <w:sz w:val="24"/>
                <w:szCs w:val="24"/>
                <w:lang w:eastAsia="ru-RU"/>
              </w:rPr>
              <w:t xml:space="preserve">Произносит </w:t>
            </w:r>
          </w:p>
          <w:p w14:paraId="63EC1BDA">
            <w:pPr>
              <w:spacing w:after="0" w:line="240" w:lineRule="auto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2060"/>
                <w:kern w:val="24"/>
                <w:sz w:val="24"/>
                <w:szCs w:val="24"/>
                <w:lang w:eastAsia="ru-RU"/>
              </w:rPr>
              <w:t>отдельные слова</w:t>
            </w:r>
          </w:p>
        </w:tc>
        <w:tc>
          <w:tcPr>
            <w:tcW w:w="33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14:paraId="08E47DC4">
            <w:pPr>
              <w:spacing w:after="0" w:line="240" w:lineRule="auto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2060"/>
                <w:kern w:val="24"/>
                <w:sz w:val="24"/>
                <w:szCs w:val="24"/>
                <w:lang w:eastAsia="ru-RU"/>
              </w:rPr>
              <w:t xml:space="preserve">Патологическое сгибание </w:t>
            </w:r>
          </w:p>
          <w:p w14:paraId="49CD0474">
            <w:pPr>
              <w:spacing w:after="0" w:line="240" w:lineRule="auto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2060"/>
                <w:kern w:val="24"/>
                <w:sz w:val="24"/>
                <w:szCs w:val="24"/>
                <w:lang w:eastAsia="ru-RU"/>
              </w:rPr>
              <w:t xml:space="preserve">в ответ на болевой раздражитель  </w:t>
            </w:r>
          </w:p>
          <w:p w14:paraId="5A2EC608">
            <w:pPr>
              <w:spacing w:after="0" w:line="240" w:lineRule="auto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2060"/>
                <w:kern w:val="24"/>
                <w:sz w:val="24"/>
                <w:szCs w:val="24"/>
                <w:lang w:eastAsia="ru-RU"/>
              </w:rPr>
              <w:t>(декортикационная ригидность)</w:t>
            </w:r>
          </w:p>
        </w:tc>
      </w:tr>
      <w:tr w14:paraId="5CCA10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11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14:paraId="3E7204BC">
            <w:pPr>
              <w:spacing w:after="0" w:line="240" w:lineRule="auto"/>
              <w:jc w:val="center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2060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14:paraId="4EA45E07">
            <w:pPr>
              <w:spacing w:after="0" w:line="240" w:lineRule="auto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2060"/>
                <w:kern w:val="24"/>
                <w:sz w:val="24"/>
                <w:szCs w:val="24"/>
                <w:lang w:eastAsia="ru-RU"/>
              </w:rPr>
              <w:t>Открывает глаза самопроизвольно, наблюдает</w:t>
            </w:r>
          </w:p>
        </w:tc>
        <w:tc>
          <w:tcPr>
            <w:tcW w:w="212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14:paraId="0F5C948A">
            <w:pPr>
              <w:spacing w:after="0" w:line="240" w:lineRule="auto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2060"/>
                <w:kern w:val="24"/>
                <w:sz w:val="24"/>
                <w:szCs w:val="24"/>
                <w:lang w:eastAsia="ru-RU"/>
              </w:rPr>
              <w:t xml:space="preserve">Произносит фразы, </w:t>
            </w:r>
          </w:p>
          <w:p w14:paraId="79A81B6A">
            <w:pPr>
              <w:spacing w:after="0" w:line="240" w:lineRule="auto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2060"/>
                <w:kern w:val="24"/>
                <w:sz w:val="24"/>
                <w:szCs w:val="24"/>
                <w:lang w:eastAsia="ru-RU"/>
              </w:rPr>
              <w:t>но речь спутанная</w:t>
            </w:r>
          </w:p>
        </w:tc>
        <w:tc>
          <w:tcPr>
            <w:tcW w:w="33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14:paraId="5BB4BFBD">
            <w:pPr>
              <w:spacing w:after="0" w:line="240" w:lineRule="auto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2060"/>
                <w:kern w:val="24"/>
                <w:sz w:val="24"/>
                <w:szCs w:val="24"/>
                <w:lang w:eastAsia="ru-RU"/>
              </w:rPr>
              <w:t xml:space="preserve">Делает бессмысленные движения в ответ на болевой раздражитель </w:t>
            </w:r>
          </w:p>
        </w:tc>
      </w:tr>
      <w:tr w14:paraId="43B246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6" w:hRule="atLeast"/>
        </w:trPr>
        <w:tc>
          <w:tcPr>
            <w:tcW w:w="11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14:paraId="29FB33A5">
            <w:pPr>
              <w:spacing w:after="0" w:line="240" w:lineRule="auto"/>
              <w:jc w:val="center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2060"/>
                <w:kern w:val="2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14:paraId="293AC6BD">
            <w:pPr>
              <w:spacing w:after="0" w:line="240" w:lineRule="auto"/>
              <w:jc w:val="center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2060"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14:paraId="02EFC54C">
            <w:pPr>
              <w:spacing w:after="0" w:line="240" w:lineRule="auto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2060"/>
                <w:kern w:val="24"/>
                <w:sz w:val="24"/>
                <w:szCs w:val="24"/>
                <w:lang w:eastAsia="ru-RU"/>
              </w:rPr>
              <w:t>Ориентирован в себе, месте и времени, быстро и правильно отвечает на вопрос</w:t>
            </w:r>
          </w:p>
        </w:tc>
        <w:tc>
          <w:tcPr>
            <w:tcW w:w="33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14:paraId="4328DFD1">
            <w:pPr>
              <w:spacing w:after="0" w:line="240" w:lineRule="auto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2060"/>
                <w:kern w:val="24"/>
                <w:sz w:val="24"/>
                <w:szCs w:val="24"/>
                <w:lang w:eastAsia="ru-RU"/>
              </w:rPr>
              <w:t xml:space="preserve">Локализует болевой раздражитель, </w:t>
            </w:r>
          </w:p>
          <w:p w14:paraId="7F1ABFA1">
            <w:pPr>
              <w:spacing w:after="0" w:line="240" w:lineRule="auto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2060"/>
                <w:kern w:val="24"/>
                <w:sz w:val="24"/>
                <w:szCs w:val="24"/>
                <w:lang w:eastAsia="ru-RU"/>
              </w:rPr>
              <w:t xml:space="preserve">пытается избежать боль </w:t>
            </w:r>
          </w:p>
        </w:tc>
      </w:tr>
      <w:tr w14:paraId="72334AE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11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14:paraId="48FE4F77">
            <w:pPr>
              <w:spacing w:after="0" w:line="240" w:lineRule="auto"/>
              <w:jc w:val="center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2060"/>
                <w:kern w:val="2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14:paraId="1B84871E">
            <w:pPr>
              <w:spacing w:after="0" w:line="240" w:lineRule="auto"/>
              <w:jc w:val="center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2060"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14:paraId="2CB24F71">
            <w:pPr>
              <w:spacing w:after="0" w:line="240" w:lineRule="auto"/>
              <w:jc w:val="center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2060"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14:paraId="62304351">
            <w:pPr>
              <w:spacing w:after="0" w:line="240" w:lineRule="auto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2060"/>
                <w:kern w:val="24"/>
                <w:sz w:val="24"/>
                <w:szCs w:val="24"/>
                <w:lang w:eastAsia="ru-RU"/>
              </w:rPr>
              <w:t>Выполняет движения</w:t>
            </w:r>
          </w:p>
          <w:p w14:paraId="7432A4C7">
            <w:pPr>
              <w:spacing w:after="0" w:line="240" w:lineRule="auto"/>
              <w:rPr>
                <w:rFonts w:ascii="Arial" w:hAnsi="Arial" w:eastAsia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2060"/>
                <w:kern w:val="24"/>
                <w:sz w:val="24"/>
                <w:szCs w:val="24"/>
                <w:lang w:eastAsia="ru-RU"/>
              </w:rPr>
              <w:t>по голосовой команде</w:t>
            </w:r>
          </w:p>
        </w:tc>
      </w:tr>
    </w:tbl>
    <w:p w14:paraId="2466D2EC">
      <w:pPr>
        <w:pStyle w:val="9"/>
        <w:spacing w:before="0" w:beforeAutospacing="0" w:after="0" w:afterAutospacing="0"/>
        <w:textAlignment w:val="baseline"/>
        <w:rPr>
          <w:color w:val="002060"/>
          <w:kern w:val="24"/>
          <w:sz w:val="28"/>
          <w:szCs w:val="28"/>
        </w:rPr>
      </w:pPr>
      <w:r>
        <w:rPr>
          <w:color w:val="002060"/>
          <w:kern w:val="24"/>
          <w:sz w:val="28"/>
          <w:szCs w:val="28"/>
        </w:rPr>
        <w:t xml:space="preserve">Интерпретация: </w:t>
      </w:r>
    </w:p>
    <w:p w14:paraId="656E71C7">
      <w:pPr>
        <w:pStyle w:val="9"/>
        <w:spacing w:before="0" w:beforeAutospacing="0" w:after="0" w:afterAutospacing="0"/>
        <w:textAlignment w:val="baseline"/>
        <w:rPr>
          <w:color w:val="002060"/>
          <w:kern w:val="24"/>
          <w:sz w:val="28"/>
          <w:szCs w:val="28"/>
        </w:rPr>
      </w:pPr>
    </w:p>
    <w:p w14:paraId="06E38526">
      <w:pPr>
        <w:pStyle w:val="9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color w:val="002060"/>
          <w:kern w:val="24"/>
          <w:sz w:val="28"/>
          <w:szCs w:val="28"/>
        </w:rPr>
        <w:t xml:space="preserve">15 баллов = ясное сознание, </w:t>
      </w:r>
    </w:p>
    <w:p w14:paraId="634BA452">
      <w:pPr>
        <w:pStyle w:val="9"/>
        <w:spacing w:before="0" w:beforeAutospacing="0" w:after="0" w:afterAutospacing="0"/>
        <w:textAlignment w:val="baseline"/>
        <w:rPr>
          <w:color w:val="002060"/>
          <w:kern w:val="24"/>
          <w:sz w:val="28"/>
          <w:szCs w:val="28"/>
        </w:rPr>
      </w:pPr>
    </w:p>
    <w:p w14:paraId="63A9413C">
      <w:pPr>
        <w:pStyle w:val="9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color w:val="002060"/>
          <w:kern w:val="24"/>
          <w:sz w:val="28"/>
          <w:szCs w:val="28"/>
        </w:rPr>
        <w:t xml:space="preserve">14—13 баллов = умеренное оглушение, </w:t>
      </w:r>
    </w:p>
    <w:p w14:paraId="71289471">
      <w:pPr>
        <w:pStyle w:val="9"/>
        <w:spacing w:before="0" w:beforeAutospacing="0" w:after="0" w:afterAutospacing="0"/>
        <w:textAlignment w:val="baseline"/>
        <w:rPr>
          <w:color w:val="002060"/>
          <w:kern w:val="24"/>
          <w:sz w:val="28"/>
          <w:szCs w:val="28"/>
        </w:rPr>
      </w:pPr>
    </w:p>
    <w:p w14:paraId="6D38E71B">
      <w:pPr>
        <w:pStyle w:val="9"/>
        <w:spacing w:before="0" w:beforeAutospacing="0" w:after="0" w:afterAutospacing="0"/>
        <w:textAlignment w:val="baseline"/>
        <w:rPr>
          <w:color w:val="002060"/>
          <w:kern w:val="24"/>
          <w:sz w:val="28"/>
          <w:szCs w:val="28"/>
        </w:rPr>
      </w:pPr>
      <w:r>
        <w:rPr>
          <w:color w:val="002060"/>
          <w:kern w:val="24"/>
          <w:sz w:val="28"/>
          <w:szCs w:val="28"/>
        </w:rPr>
        <w:t xml:space="preserve">12—10 баллов = глубокое оглушение, </w:t>
      </w:r>
      <w:r>
        <w:rPr>
          <w:color w:val="002060"/>
          <w:kern w:val="24"/>
          <w:sz w:val="28"/>
          <w:szCs w:val="28"/>
        </w:rPr>
        <w:br w:type="textWrapping"/>
      </w:r>
    </w:p>
    <w:p w14:paraId="65CC37AF">
      <w:pPr>
        <w:pStyle w:val="9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color w:val="002060"/>
          <w:kern w:val="24"/>
          <w:sz w:val="28"/>
          <w:szCs w:val="28"/>
        </w:rPr>
        <w:t xml:space="preserve">9—8 баллов = сопор, </w:t>
      </w:r>
    </w:p>
    <w:p w14:paraId="3E7FC900">
      <w:pPr>
        <w:pStyle w:val="9"/>
        <w:spacing w:before="0" w:beforeAutospacing="0" w:after="0" w:afterAutospacing="0"/>
        <w:textAlignment w:val="baseline"/>
        <w:rPr>
          <w:color w:val="002060"/>
          <w:kern w:val="24"/>
          <w:sz w:val="28"/>
          <w:szCs w:val="28"/>
        </w:rPr>
      </w:pPr>
    </w:p>
    <w:p w14:paraId="2CDC79DF">
      <w:pPr>
        <w:pStyle w:val="9"/>
        <w:spacing w:before="0" w:beforeAutospacing="0" w:after="0" w:afterAutospacing="0"/>
        <w:textAlignment w:val="baseline"/>
        <w:rPr>
          <w:color w:val="002060"/>
          <w:kern w:val="24"/>
          <w:sz w:val="28"/>
          <w:szCs w:val="28"/>
        </w:rPr>
      </w:pPr>
      <w:r>
        <w:rPr>
          <w:color w:val="002060"/>
          <w:kern w:val="24"/>
          <w:sz w:val="28"/>
          <w:szCs w:val="28"/>
        </w:rPr>
        <w:t xml:space="preserve">7—6 баллов = умеренная кома, </w:t>
      </w:r>
    </w:p>
    <w:p w14:paraId="789B2540">
      <w:pPr>
        <w:pStyle w:val="9"/>
        <w:spacing w:before="0" w:beforeAutospacing="0" w:after="0" w:afterAutospacing="0"/>
        <w:textAlignment w:val="baseline"/>
        <w:rPr>
          <w:color w:val="002060"/>
          <w:kern w:val="24"/>
          <w:sz w:val="28"/>
          <w:szCs w:val="28"/>
        </w:rPr>
      </w:pPr>
    </w:p>
    <w:p w14:paraId="55B19BDA">
      <w:pPr>
        <w:pStyle w:val="9"/>
        <w:spacing w:before="0" w:beforeAutospacing="0" w:after="0" w:afterAutospacing="0"/>
        <w:textAlignment w:val="baseline"/>
        <w:rPr>
          <w:color w:val="002060"/>
          <w:kern w:val="24"/>
          <w:sz w:val="28"/>
          <w:szCs w:val="28"/>
        </w:rPr>
      </w:pPr>
      <w:r>
        <w:rPr>
          <w:color w:val="002060"/>
          <w:kern w:val="24"/>
          <w:sz w:val="28"/>
          <w:szCs w:val="28"/>
        </w:rPr>
        <w:t xml:space="preserve">4—5 баллов = глубокая кома, </w:t>
      </w:r>
    </w:p>
    <w:p w14:paraId="0B5B1F48">
      <w:pPr>
        <w:pStyle w:val="9"/>
        <w:spacing w:before="0" w:beforeAutospacing="0" w:after="0" w:afterAutospacing="0"/>
        <w:textAlignment w:val="baseline"/>
        <w:rPr>
          <w:color w:val="002060"/>
          <w:kern w:val="24"/>
          <w:sz w:val="28"/>
          <w:szCs w:val="28"/>
        </w:rPr>
      </w:pPr>
    </w:p>
    <w:p w14:paraId="745C7ECB">
      <w:pPr>
        <w:pStyle w:val="9"/>
        <w:spacing w:before="0" w:beforeAutospacing="0" w:after="0" w:afterAutospacing="0"/>
        <w:textAlignment w:val="baseline"/>
        <w:rPr>
          <w:color w:val="002060"/>
          <w:kern w:val="24"/>
          <w:sz w:val="28"/>
          <w:szCs w:val="28"/>
        </w:rPr>
      </w:pPr>
      <w:r>
        <w:rPr>
          <w:color w:val="002060"/>
          <w:kern w:val="24"/>
          <w:sz w:val="28"/>
          <w:szCs w:val="28"/>
        </w:rPr>
        <w:t>3 балла = терминальная кома</w:t>
      </w:r>
    </w:p>
    <w:p w14:paraId="4EFDDF9D">
      <w:pPr>
        <w:pStyle w:val="9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56AD86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>
        <w:fldChar w:fldCharType="begin"/>
      </w:r>
      <w:r>
        <w:instrText xml:space="preserve"> HYPERLINK "https://medsoftpro.ru/kalkulyatory/koma-glazgo?ysclid=mpxzyvatc3532295842" </w:instrText>
      </w:r>
      <w:r>
        <w:fldChar w:fldCharType="separate"/>
      </w:r>
      <w:r>
        <w:rPr>
          <w:rFonts w:ascii="Times New Roman" w:hAnsi="Times New Roman" w:cs="Times New Roman"/>
          <w:color w:val="0000FF"/>
          <w:sz w:val="24"/>
          <w:szCs w:val="24"/>
          <w:u w:val="single"/>
        </w:rPr>
        <w:t>Шкала комы Глазго | Онлайн калькулятор</w:t>
      </w:r>
      <w:r>
        <w:rPr>
          <w:rFonts w:ascii="Times New Roman" w:hAnsi="Times New Roman" w:cs="Times New Roman"/>
          <w:color w:val="0000FF"/>
          <w:sz w:val="24"/>
          <w:szCs w:val="24"/>
          <w:u w:val="single"/>
        </w:rPr>
        <w:fldChar w:fldCharType="end"/>
      </w:r>
    </w:p>
    <w:p w14:paraId="5D1FB3FB">
      <w:pPr>
        <w:pStyle w:val="13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Шкала оценки полиорганной недостаточности и прогноза летальности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SOFA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* </w:t>
      </w:r>
    </w:p>
    <w:p w14:paraId="4D39D22A">
      <w:pPr>
        <w:rPr>
          <w:rFonts w:ascii="Times New Roman" w:hAnsi="Times New Roman" w:cs="Times New Roman"/>
          <w:sz w:val="24"/>
          <w:szCs w:val="24"/>
        </w:rPr>
      </w:pPr>
      <w:r>
        <w:rPr>
          <w:lang w:eastAsia="ru-RU"/>
        </w:rPr>
        <w:drawing>
          <wp:inline distT="0" distB="0" distL="0" distR="0">
            <wp:extent cx="5940425" cy="3404870"/>
            <wp:effectExtent l="0" t="0" r="3175" b="5080"/>
            <wp:docPr id="1029" name="Picture 5" descr="C:\Users\Евгений\Desktop\q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Евгений\Desktop\q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C17FAA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pict>
          <v:shape id="TextBox 7" o:spid="_x0000_s1026" o:spt="202" type="#_x0000_t202" style="position:absolute;left:0pt;margin-top:22.95pt;height:109.05pt;width:453.5pt;mso-position-horizontal:left;mso-position-horizontal-relative:margin;z-index:251659264;mso-width-relative:margin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 w14:paraId="2281A72D">
                  <w:pPr>
                    <w:rPr>
                      <w:rFonts w:ascii="Times New Roman" w:hAnsi="Times New Roman" w:cs="Times New Roman"/>
                      <w:color w:val="002060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kern w:val="24"/>
                      <w:sz w:val="28"/>
                      <w:szCs w:val="28"/>
                    </w:rPr>
                    <w:t>• 0-6 баллов: низкий риск летальности</w:t>
                  </w:r>
                  <w:r>
                    <w:rPr>
                      <w:rFonts w:ascii="Times New Roman" w:hAnsi="Times New Roman" w:cs="Times New Roman"/>
                      <w:color w:val="002060"/>
                      <w:kern w:val="24"/>
                      <w:sz w:val="28"/>
                      <w:szCs w:val="28"/>
                    </w:rPr>
                    <w:br w:type="textWrapping"/>
                  </w:r>
                  <w:r>
                    <w:rPr>
                      <w:rFonts w:ascii="Times New Roman" w:hAnsi="Times New Roman" w:cs="Times New Roman"/>
                      <w:color w:val="002060"/>
                      <w:kern w:val="24"/>
                      <w:sz w:val="28"/>
                      <w:szCs w:val="28"/>
                    </w:rPr>
                    <w:t>• 7-9 баллов: умеренный риск летальности (≈ 20-30%)</w:t>
                  </w:r>
                  <w:r>
                    <w:rPr>
                      <w:rFonts w:ascii="Times New Roman" w:hAnsi="Times New Roman" w:cs="Times New Roman"/>
                      <w:color w:val="002060"/>
                      <w:kern w:val="24"/>
                      <w:sz w:val="28"/>
                      <w:szCs w:val="28"/>
                    </w:rPr>
                    <w:br w:type="textWrapping"/>
                  </w:r>
                  <w:r>
                    <w:rPr>
                      <w:rFonts w:ascii="Times New Roman" w:hAnsi="Times New Roman" w:cs="Times New Roman"/>
                      <w:color w:val="002060"/>
                      <w:kern w:val="24"/>
                      <w:sz w:val="28"/>
                      <w:szCs w:val="28"/>
                    </w:rPr>
                    <w:t>• 10-12 баллов: высокий риск летальности (≈ 40-50%)</w:t>
                  </w:r>
                  <w:r>
                    <w:rPr>
                      <w:rFonts w:ascii="Times New Roman" w:hAnsi="Times New Roman" w:cs="Times New Roman"/>
                      <w:color w:val="002060"/>
                      <w:kern w:val="24"/>
                      <w:sz w:val="28"/>
                      <w:szCs w:val="28"/>
                    </w:rPr>
                    <w:br w:type="textWrapping"/>
                  </w:r>
                  <w:r>
                    <w:rPr>
                      <w:rFonts w:ascii="Times New Roman" w:hAnsi="Times New Roman" w:cs="Times New Roman"/>
                      <w:color w:val="002060"/>
                      <w:kern w:val="24"/>
                      <w:sz w:val="28"/>
                      <w:szCs w:val="28"/>
                    </w:rPr>
                    <w:t>• 13-14 баллов: очень высокий риск летальности (≈ 60-70%)</w:t>
                  </w:r>
                  <w:r>
                    <w:rPr>
                      <w:rFonts w:ascii="Times New Roman" w:hAnsi="Times New Roman" w:cs="Times New Roman"/>
                      <w:color w:val="002060"/>
                      <w:kern w:val="24"/>
                      <w:sz w:val="28"/>
                      <w:szCs w:val="28"/>
                    </w:rPr>
                    <w:br w:type="textWrapping"/>
                  </w:r>
                  <w:r>
                    <w:rPr>
                      <w:rFonts w:ascii="Times New Roman" w:hAnsi="Times New Roman" w:cs="Times New Roman"/>
                      <w:color w:val="002060"/>
                      <w:kern w:val="24"/>
                      <w:sz w:val="28"/>
                      <w:szCs w:val="28"/>
                    </w:rPr>
                    <w:t>• ≥15 баллов: крайне высокий риск летальности (≈ 80-95%)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Интерпретация: </w:t>
      </w:r>
    </w:p>
    <w:p w14:paraId="1E9AB817">
      <w:pPr>
        <w:rPr>
          <w:rFonts w:ascii="Times New Roman" w:hAnsi="Times New Roman" w:cs="Times New Roman"/>
          <w:sz w:val="28"/>
          <w:szCs w:val="28"/>
        </w:rPr>
      </w:pPr>
    </w:p>
    <w:p w14:paraId="47675DE7">
      <w:pPr>
        <w:rPr>
          <w:rFonts w:ascii="Times New Roman" w:hAnsi="Times New Roman" w:cs="Times New Roman"/>
          <w:sz w:val="24"/>
          <w:szCs w:val="24"/>
        </w:rPr>
      </w:pPr>
    </w:p>
    <w:p w14:paraId="256585B3">
      <w:pPr>
        <w:rPr>
          <w:rFonts w:ascii="Times New Roman" w:hAnsi="Times New Roman" w:cs="Times New Roman"/>
          <w:sz w:val="24"/>
          <w:szCs w:val="24"/>
        </w:rPr>
      </w:pPr>
    </w:p>
    <w:p w14:paraId="756D0FC1">
      <w:pPr>
        <w:rPr>
          <w:rFonts w:ascii="Times New Roman" w:hAnsi="Times New Roman" w:cs="Times New Roman"/>
          <w:sz w:val="24"/>
          <w:szCs w:val="24"/>
        </w:rPr>
      </w:pPr>
    </w:p>
    <w:p w14:paraId="4CE4C7E8">
      <w:pPr>
        <w:rPr>
          <w:rFonts w:ascii="Times New Roman" w:hAnsi="Times New Roman" w:cs="Times New Roman"/>
          <w:sz w:val="24"/>
          <w:szCs w:val="24"/>
        </w:rPr>
      </w:pPr>
      <w:r>
        <w:br w:type="textWrapping"/>
      </w:r>
    </w:p>
    <w:p w14:paraId="6025FAF1">
      <w:pPr>
        <w:rPr>
          <w:rFonts w:ascii="Times New Roman" w:hAnsi="Times New Roman" w:cs="Times New Roman"/>
          <w:sz w:val="24"/>
          <w:szCs w:val="24"/>
        </w:rPr>
      </w:pPr>
    </w:p>
    <w:p w14:paraId="64450399">
      <w:pPr>
        <w:rPr>
          <w:rFonts w:ascii="Times New Roman" w:hAnsi="Times New Roman" w:cs="Times New Roman"/>
          <w:sz w:val="24"/>
          <w:szCs w:val="24"/>
        </w:rPr>
      </w:pPr>
    </w:p>
    <w:p w14:paraId="6F393E6F">
      <w:pPr>
        <w:rPr>
          <w:rFonts w:ascii="Times New Roman" w:hAnsi="Times New Roman" w:cs="Times New Roman"/>
          <w:sz w:val="24"/>
          <w:szCs w:val="24"/>
        </w:rPr>
      </w:pPr>
    </w:p>
    <w:p w14:paraId="5CB9636E">
      <w:pPr>
        <w:rPr>
          <w:rFonts w:ascii="Times New Roman" w:hAnsi="Times New Roman" w:cs="Times New Roman"/>
          <w:sz w:val="24"/>
          <w:szCs w:val="24"/>
        </w:rPr>
      </w:pPr>
    </w:p>
    <w:p w14:paraId="4A0CEBA3">
      <w:pPr>
        <w:rPr>
          <w:rFonts w:ascii="Times New Roman" w:hAnsi="Times New Roman" w:cs="Times New Roman"/>
          <w:sz w:val="24"/>
          <w:szCs w:val="24"/>
        </w:rPr>
      </w:pPr>
    </w:p>
    <w:p w14:paraId="1DF9358B">
      <w:pPr>
        <w:rPr>
          <w:rFonts w:ascii="Times New Roman" w:hAnsi="Times New Roman" w:cs="Times New Roman"/>
          <w:sz w:val="24"/>
          <w:szCs w:val="24"/>
        </w:rPr>
      </w:pPr>
    </w:p>
    <w:p w14:paraId="77EE3F68">
      <w:pPr>
        <w:rPr>
          <w:rFonts w:ascii="Times New Roman" w:hAnsi="Times New Roman" w:cs="Times New Roman"/>
          <w:sz w:val="24"/>
          <w:szCs w:val="24"/>
        </w:rPr>
      </w:pPr>
    </w:p>
    <w:p w14:paraId="1814E741">
      <w:pPr>
        <w:rPr>
          <w:rFonts w:ascii="Times New Roman" w:hAnsi="Times New Roman" w:cs="Times New Roman"/>
          <w:sz w:val="24"/>
          <w:szCs w:val="24"/>
        </w:rPr>
      </w:pPr>
    </w:p>
    <w:p w14:paraId="3484490B">
      <w:pPr>
        <w:rPr>
          <w:rFonts w:ascii="Times New Roman" w:hAnsi="Times New Roman" w:cs="Times New Roman"/>
          <w:sz w:val="24"/>
          <w:szCs w:val="24"/>
        </w:rPr>
      </w:pPr>
    </w:p>
    <w:p w14:paraId="631BDB88">
      <w:pPr>
        <w:rPr>
          <w:rFonts w:ascii="Times New Roman" w:hAnsi="Times New Roman" w:cs="Times New Roman"/>
          <w:sz w:val="24"/>
          <w:szCs w:val="24"/>
        </w:rPr>
      </w:pPr>
    </w:p>
    <w:p w14:paraId="5DB5CD8B">
      <w:pPr>
        <w:rPr>
          <w:rFonts w:ascii="Times New Roman" w:hAnsi="Times New Roman" w:cs="Times New Roman"/>
          <w:sz w:val="24"/>
          <w:szCs w:val="24"/>
        </w:rPr>
      </w:pPr>
    </w:p>
    <w:p w14:paraId="3937D4F7">
      <w:pPr>
        <w:rPr>
          <w:sz w:val="24"/>
          <w:szCs w:val="24"/>
        </w:rPr>
      </w:pPr>
      <w:r>
        <w:rPr>
          <w:sz w:val="24"/>
          <w:szCs w:val="24"/>
        </w:rPr>
        <w:t>*</w:t>
      </w:r>
      <w:r>
        <w:fldChar w:fldCharType="begin"/>
      </w:r>
      <w:r>
        <w:instrText xml:space="preserve"> HYPERLINK "https://medsoftpro.ru/kalkulyatory/sofa-scores?ysclid=mpxus81wd3188386714" </w:instrText>
      </w:r>
      <w:r>
        <w:fldChar w:fldCharType="separate"/>
      </w:r>
      <w:r>
        <w:rPr>
          <w:rStyle w:val="4"/>
          <w:rFonts w:ascii="Times New Roman" w:hAnsi="Times New Roman" w:cs="Times New Roman"/>
          <w:sz w:val="24"/>
          <w:szCs w:val="24"/>
        </w:rPr>
        <w:t>Шкала SOFA | Онлайн калькулятор</w:t>
      </w:r>
      <w:r>
        <w:rPr>
          <w:rStyle w:val="4"/>
          <w:rFonts w:ascii="Times New Roman" w:hAnsi="Times New Roman" w:cs="Times New Roman"/>
          <w:sz w:val="24"/>
          <w:szCs w:val="24"/>
        </w:rPr>
        <w:fldChar w:fldCharType="end"/>
      </w:r>
    </w:p>
    <w:p w14:paraId="4B1528BE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>
        <w:rPr>
          <w:rFonts w:ascii="Times New Roman" w:hAnsi="Times New Roman" w:cs="Times New Roman"/>
          <w:b/>
          <w:bCs/>
          <w:sz w:val="24"/>
          <w:szCs w:val="24"/>
        </w:rPr>
        <w:t>Упрощенная версия шкалы SOFA для быстрой оценки пациентов с подозрением на сепсис вне отделений интенсивной терапии (Quick SOFA, qSOFA).</w:t>
      </w:r>
    </w:p>
    <w:p w14:paraId="1667FE13">
      <w:pPr>
        <w:jc w:val="center"/>
      </w:pPr>
      <w:r>
        <w:rPr>
          <w:lang w:eastAsia="ru-RU"/>
        </w:rPr>
        <w:drawing>
          <wp:inline distT="0" distB="0" distL="0" distR="0">
            <wp:extent cx="4715510" cy="2092325"/>
            <wp:effectExtent l="0" t="0" r="8890" b="3175"/>
            <wp:docPr id="1027" name="Picture 3" descr="C:\Users\Евгений\Desktop\q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Евгений\Desktop\q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015" cy="209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491EBB">
      <w:r>
        <w:rPr>
          <w:rStyle w:val="5"/>
          <w:rFonts w:ascii="Times New Roman" w:hAnsi="Times New Roman" w:cs="Times New Roman"/>
          <w:b w:val="0"/>
          <w:color w:val="333333"/>
          <w:sz w:val="28"/>
          <w:szCs w:val="28"/>
        </w:rPr>
        <w:t>Интерпретация: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br w:type="textWrapping"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• 0 баллов: низкий риск неблагоприятного исхода</w:t>
      </w:r>
      <w:r>
        <w:rPr>
          <w:rFonts w:ascii="Times New Roman" w:hAnsi="Times New Roman" w:cs="Times New Roman"/>
          <w:color w:val="333333"/>
          <w:sz w:val="28"/>
          <w:szCs w:val="28"/>
        </w:rPr>
        <w:br w:type="textWrapping"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• 1 балл: промежуточный риск, рекомендовано наблюдение </w:t>
      </w:r>
      <w:r>
        <w:rPr>
          <w:rFonts w:ascii="Times New Roman" w:hAnsi="Times New Roman" w:cs="Times New Roman"/>
          <w:color w:val="333333"/>
          <w:sz w:val="28"/>
          <w:szCs w:val="28"/>
        </w:rPr>
        <w:br w:type="textWrapping"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• ≥2 баллов: высокий риск неблагоприятного исхода (вероятность сепсиса), 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тщательное обследование для исключения сепсиса и определения необходимости госпитализации в ОРИТ.</w:t>
      </w:r>
    </w:p>
    <w:p w14:paraId="6886C9C8">
      <w:pP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Алгоритм принятия решения </w:t>
      </w:r>
    </w:p>
    <w:p w14:paraId="4EEFEC26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lang w:eastAsia="ru-RU"/>
        </w:rPr>
        <w:drawing>
          <wp:inline distT="0" distB="0" distL="0" distR="0">
            <wp:extent cx="5008880" cy="3766820"/>
            <wp:effectExtent l="0" t="0" r="127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888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FC8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>
        <w:fldChar w:fldCharType="begin"/>
      </w:r>
      <w:r>
        <w:instrText xml:space="preserve"> HYPERLINK "https://xn--33-6kct8aza.xn--p1ai/all_calculators/sofa/?ysclid=mpxuu9hill655387958" </w:instrText>
      </w:r>
      <w:r>
        <w:fldChar w:fldCharType="separate"/>
      </w:r>
      <w:r>
        <w:rPr>
          <w:rStyle w:val="4"/>
          <w:rFonts w:ascii="Times New Roman" w:hAnsi="Times New Roman" w:cs="Times New Roman"/>
          <w:sz w:val="24"/>
          <w:szCs w:val="24"/>
        </w:rPr>
        <w:t>https://xn--33-6kct8aza.xn--p1ai/all_calculators/sofa/?ysclid=mpxuu9hill655387958</w:t>
      </w:r>
      <w:r>
        <w:rPr>
          <w:rStyle w:val="4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AF23AB">
      <w:pPr>
        <w:rPr>
          <w:rFonts w:ascii="Times New Roman" w:hAnsi="Times New Roman" w:cs="Times New Roman"/>
          <w:sz w:val="24"/>
          <w:szCs w:val="24"/>
        </w:rPr>
      </w:pPr>
      <w:r>
        <w:fldChar w:fldCharType="begin"/>
      </w:r>
      <w:r>
        <w:instrText xml:space="preserve"> HYPERLINK "https://sudact.ru/law/pismo-minzdrava-rossii-ot-06022017-n-15-4102-728/prilozhenie/sepsis-i-septicheskii-shok/tablitsa-4/?ysclid=mpxusw8wzu720567226" </w:instrText>
      </w:r>
      <w:r>
        <w:fldChar w:fldCharType="separate"/>
      </w:r>
      <w:r>
        <w:rPr>
          <w:rStyle w:val="4"/>
          <w:rFonts w:ascii="Times New Roman" w:hAnsi="Times New Roman" w:cs="Times New Roman"/>
          <w:sz w:val="24"/>
          <w:szCs w:val="24"/>
        </w:rPr>
        <w:t>https://sudact.ru/law/pismo-minzdrava-rossii-ot-06022017-n-15-4102-728/prilozhenie/sepsis-i-septicheskii-shok/tablitsa-4/?ysclid=mpxusw8wzu720567226</w:t>
      </w:r>
      <w:r>
        <w:rPr>
          <w:rStyle w:val="4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15096F">
      <w:pPr>
        <w:pStyle w:val="13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Шкала раннего предупреждения критических состояний пациента 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NEWS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51F547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795010" cy="58699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1385" cy="5876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AE5710">
      <w:pPr>
        <w:rPr>
          <w:rFonts w:ascii="Times New Roman" w:hAnsi="Times New Roman" w:cs="Times New Roman"/>
          <w:sz w:val="24"/>
          <w:szCs w:val="24"/>
        </w:rPr>
      </w:pPr>
    </w:p>
    <w:p w14:paraId="16D67BB0">
      <w:pPr>
        <w:rPr>
          <w:rFonts w:ascii="Times New Roman" w:hAnsi="Times New Roman" w:cs="Times New Roman"/>
          <w:sz w:val="24"/>
          <w:szCs w:val="24"/>
        </w:rPr>
      </w:pPr>
    </w:p>
    <w:p w14:paraId="0C6FDC8C">
      <w:pPr>
        <w:rPr>
          <w:rFonts w:ascii="Times New Roman" w:hAnsi="Times New Roman" w:cs="Times New Roman"/>
          <w:sz w:val="24"/>
          <w:szCs w:val="24"/>
        </w:rPr>
      </w:pPr>
    </w:p>
    <w:p w14:paraId="6C3C160C">
      <w:pPr>
        <w:rPr>
          <w:rFonts w:ascii="Times New Roman" w:hAnsi="Times New Roman" w:cs="Times New Roman"/>
          <w:sz w:val="24"/>
          <w:szCs w:val="24"/>
        </w:rPr>
      </w:pPr>
    </w:p>
    <w:p w14:paraId="6EDC98E8">
      <w:pPr>
        <w:rPr>
          <w:rFonts w:ascii="Times New Roman" w:hAnsi="Times New Roman" w:cs="Times New Roman"/>
          <w:sz w:val="24"/>
          <w:szCs w:val="24"/>
        </w:rPr>
      </w:pPr>
    </w:p>
    <w:p w14:paraId="775CB372">
      <w:pPr>
        <w:rPr>
          <w:rFonts w:ascii="Times New Roman" w:hAnsi="Times New Roman" w:cs="Times New Roman"/>
          <w:sz w:val="24"/>
          <w:szCs w:val="24"/>
        </w:rPr>
      </w:pPr>
    </w:p>
    <w:p w14:paraId="318179EE">
      <w:pPr>
        <w:rPr>
          <w:rFonts w:ascii="Times New Roman" w:hAnsi="Times New Roman" w:cs="Times New Roman"/>
          <w:sz w:val="24"/>
          <w:szCs w:val="24"/>
        </w:rPr>
      </w:pPr>
    </w:p>
    <w:p w14:paraId="09B0A7B1">
      <w:pPr>
        <w:rPr>
          <w:rFonts w:ascii="Times New Roman" w:hAnsi="Times New Roman" w:cs="Times New Roman"/>
          <w:sz w:val="24"/>
          <w:szCs w:val="24"/>
        </w:rPr>
      </w:pPr>
    </w:p>
    <w:p w14:paraId="1D80EC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>
        <w:fldChar w:fldCharType="begin"/>
      </w:r>
      <w:r>
        <w:instrText xml:space="preserve"> HYPERLINK "https://keshanchik.tilda.ws/news" </w:instrText>
      </w:r>
      <w:r>
        <w:fldChar w:fldCharType="separate"/>
      </w:r>
      <w:r>
        <w:rPr>
          <w:rStyle w:val="4"/>
          <w:rFonts w:ascii="Times New Roman" w:hAnsi="Times New Roman" w:cs="Times New Roman"/>
          <w:sz w:val="24"/>
          <w:szCs w:val="24"/>
        </w:rPr>
        <w:t>https://keshanchik.tilda.ws/news</w:t>
      </w:r>
      <w:r>
        <w:rPr>
          <w:rStyle w:val="4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7764F4">
      <w:pPr>
        <w:rPr>
          <w:rFonts w:ascii="Times New Roman" w:hAnsi="Times New Roman" w:cs="Times New Roman"/>
          <w:sz w:val="24"/>
          <w:szCs w:val="24"/>
        </w:rPr>
      </w:pPr>
      <w:r>
        <w:fldChar w:fldCharType="begin"/>
      </w:r>
      <w:r>
        <w:instrText xml:space="preserve"> HYPERLINK "https://medsoftpro.ru/kalkulyatory/news-2-score?ysclid=mpxvpkqyr9396611989" </w:instrText>
      </w:r>
      <w:r>
        <w:fldChar w:fldCharType="separate"/>
      </w:r>
      <w:r>
        <w:rPr>
          <w:rStyle w:val="4"/>
          <w:rFonts w:ascii="Times New Roman" w:hAnsi="Times New Roman" w:cs="Times New Roman"/>
          <w:sz w:val="24"/>
          <w:szCs w:val="24"/>
        </w:rPr>
        <w:t>https://medsoftpro.ru/kalkulyatory/news-2-score?ysclid=mpxvpkqyr9396611989</w:t>
      </w:r>
      <w:r>
        <w:rPr>
          <w:rStyle w:val="4"/>
          <w:rFonts w:ascii="Times New Roman" w:hAnsi="Times New Roman" w:cs="Times New Roman"/>
          <w:sz w:val="24"/>
          <w:szCs w:val="24"/>
        </w:rPr>
        <w:fldChar w:fldCharType="end"/>
      </w:r>
    </w:p>
    <w:p w14:paraId="3C1D7C32">
      <w:pPr>
        <w:pStyle w:val="13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Шкала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возбуждения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b/>
          <w:bCs/>
          <w:sz w:val="24"/>
          <w:szCs w:val="24"/>
        </w:rPr>
        <w:t>седации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Ричмонда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</w:p>
    <w:p w14:paraId="00FCB216">
      <w:pPr>
        <w:pStyle w:val="13"/>
        <w:ind w:left="108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(Richmond Agitation-Sedation Scale, RASS)*</w:t>
      </w:r>
    </w:p>
    <w:p w14:paraId="00D11CE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ECB20FA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drawing>
          <wp:inline distT="0" distB="0" distL="0" distR="0">
            <wp:extent cx="5903595" cy="3275330"/>
            <wp:effectExtent l="0" t="0" r="190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0024" cy="3278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72A06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0B4B2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Интерпретация</w:t>
      </w:r>
    </w:p>
    <w:p w14:paraId="42CC69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пациентов с делирием показатели в интервале от +4 до −3, </w:t>
      </w:r>
    </w:p>
    <w:p w14:paraId="7B5BA8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−4 или −5 диагноз делирия необходимо уточнить или повторить оценку в динамике, так как эти показатели соответствуют состоянию комы либо глубокой седации. </w:t>
      </w:r>
    </w:p>
    <w:p w14:paraId="2DCEE2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Делирия нет при оценке 0 и стабильном психическом статусе в течение предшествующих 24 часов. </w:t>
      </w:r>
    </w:p>
    <w:p w14:paraId="31A785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Обычно для большинства пациентов на ИВЛ рекомендуется уровень от 0 до −2. </w:t>
      </w:r>
    </w:p>
    <w:p w14:paraId="389617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−3 баллов и менее — слишком глубокая седация, которую следует избегать, если для этого нет показаний. </w:t>
      </w:r>
    </w:p>
    <w:p w14:paraId="2DACC4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и более баллов — недостаточная седация, возбуждение. В этом случае необходимо установить причину (тревожное расстройство, делирий, боль) и углубить седацию.</w:t>
      </w:r>
    </w:p>
    <w:p w14:paraId="43588FD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03DD08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55714E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CDC89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C49051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0B1AE5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7FD43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>
        <w:fldChar w:fldCharType="begin"/>
      </w:r>
      <w:r>
        <w:instrText xml:space="preserve"> HYPERLINK "https://medsoftpro.ru/kalkulyatory/rass-scale?ysclid=mpxvv04xin825226601" </w:instrText>
      </w:r>
      <w:r>
        <w:fldChar w:fldCharType="separate"/>
      </w:r>
      <w:r>
        <w:rPr>
          <w:rStyle w:val="4"/>
          <w:rFonts w:ascii="Times New Roman" w:hAnsi="Times New Roman" w:cs="Times New Roman"/>
          <w:sz w:val="24"/>
          <w:szCs w:val="24"/>
        </w:rPr>
        <w:t>Шкала RASS | Онлайн калькулятор</w:t>
      </w:r>
      <w:r>
        <w:rPr>
          <w:rStyle w:val="4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E5DBE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 Унифицированная классификация и диагностические критерии острого почечного повреждения 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Acute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Kidney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Injury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Network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AKIN</w:t>
      </w:r>
      <w:r>
        <w:rPr>
          <w:rFonts w:ascii="Times New Roman" w:hAnsi="Times New Roman" w:cs="Times New Roman"/>
          <w:b/>
          <w:bCs/>
          <w:sz w:val="24"/>
          <w:szCs w:val="24"/>
        </w:rPr>
        <w:t>)*</w:t>
      </w:r>
    </w:p>
    <w:p w14:paraId="4C68EC4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drawing>
          <wp:inline distT="0" distB="0" distL="0" distR="0">
            <wp:extent cx="5985510" cy="4483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8822" cy="4493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64D3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Интерпретация и клиническое значение: </w:t>
      </w:r>
    </w:p>
    <w:p w14:paraId="1B0984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Стадия 1 (лёгкое ОПП). </w:t>
      </w:r>
    </w:p>
    <w:p w14:paraId="2C3E29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Требует оптимизации гемодинамики, отмены нефротоксичных препаратов, коррекции гиповолемии. Мониторинг креатинина и диуреза каждые 6–12 часов. 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</w:rPr>
        <w:t>Риск прогрессирования — 10–20%.</w:t>
      </w:r>
    </w:p>
    <w:p w14:paraId="39D9F2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Стадия 2 (ОПП средней тяжести). </w:t>
      </w:r>
    </w:p>
    <w:p w14:paraId="13CC15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Пациент нуждается в интенсивном наблюдении, исключении обструкции (УЗИ почек), оценке волемического статуса. Рассматриваются показания к почечно-заместительной терапии при нарастании уремии, гиперкалиемии или ацидоза.</w:t>
      </w:r>
    </w:p>
    <w:p w14:paraId="10BBC457">
      <w:pPr>
        <w:rPr>
          <w:rFonts w:ascii="Times New Roman" w:hAnsi="Times New Roman" w:cs="Times New Roman"/>
          <w:sz w:val="24"/>
          <w:szCs w:val="24"/>
        </w:rPr>
      </w:pPr>
    </w:p>
    <w:p w14:paraId="40F6DB8C">
      <w:pPr>
        <w:rPr>
          <w:rFonts w:ascii="Times New Roman" w:hAnsi="Times New Roman" w:cs="Times New Roman"/>
          <w:sz w:val="24"/>
          <w:szCs w:val="24"/>
        </w:rPr>
      </w:pPr>
    </w:p>
    <w:p w14:paraId="57E1E3AF">
      <w:pPr>
        <w:rPr>
          <w:rFonts w:ascii="Times New Roman" w:hAnsi="Times New Roman" w:cs="Times New Roman"/>
          <w:sz w:val="24"/>
          <w:szCs w:val="24"/>
        </w:rPr>
      </w:pPr>
    </w:p>
    <w:p w14:paraId="6961706A">
      <w:pPr>
        <w:rPr>
          <w:rFonts w:ascii="Times New Roman" w:hAnsi="Times New Roman" w:cs="Times New Roman"/>
          <w:sz w:val="24"/>
          <w:szCs w:val="24"/>
        </w:rPr>
      </w:pPr>
    </w:p>
    <w:p w14:paraId="63B4F2FE">
      <w:pPr>
        <w:rPr>
          <w:rFonts w:ascii="Times New Roman" w:hAnsi="Times New Roman" w:cs="Times New Roman"/>
          <w:sz w:val="24"/>
          <w:szCs w:val="24"/>
        </w:rPr>
      </w:pPr>
    </w:p>
    <w:p w14:paraId="122849A3">
      <w:pPr>
        <w:rPr>
          <w:rFonts w:ascii="Times New Roman" w:hAnsi="Times New Roman" w:cs="Times New Roman"/>
          <w:sz w:val="24"/>
          <w:szCs w:val="24"/>
        </w:rPr>
      </w:pPr>
    </w:p>
    <w:p w14:paraId="7F977C0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>
        <w:fldChar w:fldCharType="begin"/>
      </w:r>
      <w:r>
        <w:instrText xml:space="preserve"> HYPERLINK "https://medsoftpro.ru/kalkulyatory/akin-classification-aki?ysclid=mpxw3nir9b88415785" </w:instrText>
      </w:r>
      <w:r>
        <w:fldChar w:fldCharType="separate"/>
      </w:r>
      <w:r>
        <w:rPr>
          <w:rStyle w:val="4"/>
          <w:rFonts w:ascii="Times New Roman" w:hAnsi="Times New Roman" w:cs="Times New Roman"/>
          <w:sz w:val="24"/>
          <w:szCs w:val="24"/>
        </w:rPr>
        <w:t>Критерии AKIN | Онлайн калькулятор</w:t>
      </w:r>
      <w:r>
        <w:rPr>
          <w:rStyle w:val="4"/>
          <w:rFonts w:ascii="Times New Roman" w:hAnsi="Times New Roman" w:cs="Times New Roman"/>
          <w:sz w:val="24"/>
          <w:szCs w:val="24"/>
        </w:rPr>
        <w:fldChar w:fldCharType="end"/>
      </w:r>
    </w:p>
    <w:p w14:paraId="5611393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7. Шкала острого повреждения почек (RIFLE)* </w:t>
      </w:r>
    </w:p>
    <w:p w14:paraId="4098D902">
      <w:r>
        <w:rPr>
          <w:lang w:eastAsia="ru-RU"/>
        </w:rPr>
        <w:drawing>
          <wp:inline distT="0" distB="0" distL="0" distR="0">
            <wp:extent cx="5940425" cy="4445000"/>
            <wp:effectExtent l="0" t="0" r="3175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C2E08"/>
    <w:p w14:paraId="6B24F530"/>
    <w:p w14:paraId="1BCA02B4"/>
    <w:p w14:paraId="7DD98719"/>
    <w:p w14:paraId="586E482A"/>
    <w:p w14:paraId="084C271C"/>
    <w:p w14:paraId="11C20E60"/>
    <w:p w14:paraId="29BD6848"/>
    <w:p w14:paraId="420108C2"/>
    <w:p w14:paraId="050BB442"/>
    <w:p w14:paraId="5090F21B"/>
    <w:p w14:paraId="62B12A59"/>
    <w:p w14:paraId="013A399D"/>
    <w:p w14:paraId="6AE41747"/>
    <w:p w14:paraId="5807D2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>
        <w:fldChar w:fldCharType="begin"/>
      </w:r>
      <w:r>
        <w:instrText xml:space="preserve"> HYPERLINK "https://medsoftpro.ru/kalkulyatory/rifle-criteria?ysclid=mpxwmu6uav397454026" </w:instrText>
      </w:r>
      <w:r>
        <w:fldChar w:fldCharType="separate"/>
      </w:r>
      <w:r>
        <w:rPr>
          <w:rStyle w:val="4"/>
          <w:rFonts w:ascii="Times New Roman" w:hAnsi="Times New Roman" w:cs="Times New Roman"/>
          <w:sz w:val="24"/>
          <w:szCs w:val="24"/>
        </w:rPr>
        <w:t>Критерии RIFLE | Онлайн калькулятор</w:t>
      </w:r>
      <w:r>
        <w:rPr>
          <w:rStyle w:val="4"/>
          <w:rFonts w:ascii="Times New Roman" w:hAnsi="Times New Roman" w:cs="Times New Roman"/>
          <w:sz w:val="24"/>
          <w:szCs w:val="24"/>
        </w:rPr>
        <w:fldChar w:fldCharType="end"/>
      </w:r>
    </w:p>
    <w:p w14:paraId="47E284EB">
      <w:pPr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Шоковый индекс (Альговера)– оценка объема кровопотери и расчета степени шока </w:t>
      </w:r>
    </w:p>
    <w:p w14:paraId="1029CCAA">
      <w:pPr>
        <w:numPr>
          <w:numId w:val="0"/>
        </w:numPr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Расчёт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 производится по формуле: ШИ (шоковый индекс) = ЧСС (частота сердечных сокращений) / САД (систолическое артериальное давление)</w:t>
      </w:r>
    </w:p>
    <w:p w14:paraId="01EE77C1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textAlignment w:val="auto"/>
        <w:rPr>
          <w:rFonts w:hint="default" w:ascii="Times New Roman" w:hAnsi="Times New Roman" w:cs="Times New Roman"/>
          <w:b w:val="0"/>
          <w:bCs w:val="0"/>
          <w:sz w:val="21"/>
          <w:szCs w:val="21"/>
        </w:rPr>
      </w:pPr>
      <w:r>
        <w:rPr>
          <w:rFonts w:hint="default" w:ascii="Times New Roman" w:hAnsi="Times New Roman" w:cs="Times New Roman"/>
          <w:b w:val="0"/>
          <w:bCs w:val="0"/>
          <w:sz w:val="21"/>
          <w:szCs w:val="21"/>
        </w:rPr>
        <w:t>Нормальное значение для взрослых — 0,5–0,7</w:t>
      </w:r>
    </w:p>
    <w:p w14:paraId="51928CD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textAlignment w:val="auto"/>
        <w:rPr>
          <w:rFonts w:hint="default" w:ascii="Times New Roman" w:hAnsi="Times New Roman" w:cs="Times New Roman"/>
          <w:b w:val="0"/>
          <w:bCs w:val="0"/>
          <w:sz w:val="21"/>
          <w:szCs w:val="21"/>
        </w:rPr>
      </w:pPr>
      <w:r>
        <w:rPr>
          <w:rFonts w:hint="default" w:ascii="Times New Roman" w:hAnsi="Times New Roman" w:cs="Times New Roman"/>
          <w:b w:val="0"/>
          <w:bCs w:val="0"/>
          <w:sz w:val="21"/>
          <w:szCs w:val="21"/>
        </w:rPr>
        <w:t>У детей нормальные значения индекса выше, чем у взрослых (например, у новорождённых — 0,7–1,0).</w:t>
      </w:r>
    </w:p>
    <w:p w14:paraId="6830255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textAlignment w:val="auto"/>
        <w:rPr>
          <w:rFonts w:hint="default" w:ascii="Times New Roman" w:hAnsi="Times New Roman" w:cs="Times New Roman"/>
          <w:b w:val="0"/>
          <w:bCs w:val="0"/>
          <w:sz w:val="21"/>
          <w:szCs w:val="21"/>
        </w:rPr>
      </w:pPr>
    </w:p>
    <w:p w14:paraId="369B44C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textAlignment w:val="auto"/>
        <w:rPr>
          <w:rFonts w:hint="default" w:ascii="Times New Roman" w:hAnsi="Times New Roman" w:cs="Times New Roman"/>
          <w:b w:val="0"/>
          <w:bCs w:val="0"/>
          <w:sz w:val="21"/>
          <w:szCs w:val="21"/>
        </w:rPr>
      </w:pPr>
    </w:p>
    <w:p w14:paraId="5918F1E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drawing>
          <wp:inline distT="0" distB="0" distL="0" distR="0">
            <wp:extent cx="5925185" cy="33794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6567" cy="3391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794005">
      <w:pPr>
        <w:rPr>
          <w:rFonts w:ascii="Times New Roman" w:hAnsi="Times New Roman" w:cs="Times New Roman"/>
          <w:sz w:val="24"/>
          <w:szCs w:val="24"/>
        </w:rPr>
      </w:pPr>
    </w:p>
    <w:p w14:paraId="3396EB2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999D6F8">
      <w:pPr>
        <w:tabs>
          <w:tab w:val="left" w:pos="84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36BD4E6">
      <w:pPr>
        <w:tabs>
          <w:tab w:val="left" w:pos="8425"/>
        </w:tabs>
        <w:rPr>
          <w:rFonts w:ascii="Times New Roman" w:hAnsi="Times New Roman" w:cs="Times New Roman"/>
          <w:sz w:val="24"/>
          <w:szCs w:val="24"/>
        </w:rPr>
      </w:pPr>
    </w:p>
    <w:p w14:paraId="1AABD27B">
      <w:pPr>
        <w:tabs>
          <w:tab w:val="left" w:pos="8425"/>
        </w:tabs>
        <w:rPr>
          <w:rFonts w:ascii="Times New Roman" w:hAnsi="Times New Roman" w:cs="Times New Roman"/>
          <w:sz w:val="24"/>
          <w:szCs w:val="24"/>
        </w:rPr>
      </w:pPr>
    </w:p>
    <w:p w14:paraId="4A805554">
      <w:pPr>
        <w:tabs>
          <w:tab w:val="left" w:pos="8425"/>
        </w:tabs>
        <w:rPr>
          <w:rFonts w:ascii="Times New Roman" w:hAnsi="Times New Roman" w:cs="Times New Roman"/>
          <w:sz w:val="24"/>
          <w:szCs w:val="24"/>
        </w:rPr>
      </w:pPr>
    </w:p>
    <w:p w14:paraId="66DFBA7D">
      <w:pPr>
        <w:tabs>
          <w:tab w:val="left" w:pos="8425"/>
        </w:tabs>
        <w:rPr>
          <w:rFonts w:ascii="Times New Roman" w:hAnsi="Times New Roman" w:cs="Times New Roman"/>
          <w:sz w:val="24"/>
          <w:szCs w:val="24"/>
        </w:rPr>
      </w:pPr>
    </w:p>
    <w:p w14:paraId="776AC8F5">
      <w:pPr>
        <w:tabs>
          <w:tab w:val="left" w:pos="8425"/>
        </w:tabs>
        <w:rPr>
          <w:rFonts w:ascii="Times New Roman" w:hAnsi="Times New Roman" w:cs="Times New Roman"/>
          <w:sz w:val="24"/>
          <w:szCs w:val="24"/>
        </w:rPr>
      </w:pPr>
    </w:p>
    <w:p w14:paraId="2B5EC62D">
      <w:pPr>
        <w:tabs>
          <w:tab w:val="left" w:pos="8425"/>
        </w:tabs>
        <w:rPr>
          <w:rFonts w:ascii="Times New Roman" w:hAnsi="Times New Roman" w:cs="Times New Roman"/>
          <w:sz w:val="24"/>
          <w:szCs w:val="24"/>
        </w:rPr>
      </w:pPr>
    </w:p>
    <w:p w14:paraId="666B2496">
      <w:pPr>
        <w:tabs>
          <w:tab w:val="left" w:pos="8425"/>
        </w:tabs>
        <w:rPr>
          <w:rFonts w:ascii="Times New Roman" w:hAnsi="Times New Roman" w:cs="Times New Roman"/>
          <w:sz w:val="24"/>
          <w:szCs w:val="24"/>
        </w:rPr>
      </w:pPr>
    </w:p>
    <w:p w14:paraId="5B606BD5">
      <w:pPr>
        <w:tabs>
          <w:tab w:val="left" w:pos="8425"/>
        </w:tabs>
        <w:rPr>
          <w:rFonts w:ascii="Times New Roman" w:hAnsi="Times New Roman" w:cs="Times New Roman"/>
          <w:sz w:val="24"/>
          <w:szCs w:val="24"/>
        </w:rPr>
      </w:pPr>
    </w:p>
    <w:p w14:paraId="247BB9E1">
      <w:pPr>
        <w:tabs>
          <w:tab w:val="left" w:pos="8425"/>
        </w:tabs>
        <w:rPr>
          <w:rFonts w:ascii="Times New Roman" w:hAnsi="Times New Roman" w:cs="Times New Roman"/>
          <w:sz w:val="24"/>
          <w:szCs w:val="24"/>
        </w:rPr>
      </w:pPr>
    </w:p>
    <w:p w14:paraId="7D3B6CCD">
      <w:pPr>
        <w:tabs>
          <w:tab w:val="left" w:pos="8425"/>
        </w:tabs>
        <w:rPr>
          <w:rFonts w:ascii="Times New Roman" w:hAnsi="Times New Roman" w:cs="Times New Roman"/>
          <w:sz w:val="24"/>
          <w:szCs w:val="24"/>
        </w:rPr>
      </w:pPr>
    </w:p>
    <w:p w14:paraId="655F0A21">
      <w:pPr>
        <w:tabs>
          <w:tab w:val="left" w:pos="8425"/>
        </w:tabs>
        <w:rPr>
          <w:rFonts w:ascii="Times New Roman" w:hAnsi="Times New Roman" w:cs="Times New Roman"/>
          <w:sz w:val="24"/>
          <w:szCs w:val="24"/>
        </w:rPr>
      </w:pPr>
    </w:p>
    <w:p w14:paraId="13807C69">
      <w:pPr>
        <w:tabs>
          <w:tab w:val="left" w:pos="8425"/>
        </w:tabs>
        <w:rPr>
          <w:rFonts w:ascii="Times New Roman" w:hAnsi="Times New Roman" w:cs="Times New Roman"/>
          <w:sz w:val="24"/>
          <w:szCs w:val="24"/>
        </w:rPr>
      </w:pPr>
    </w:p>
    <w:p w14:paraId="45D47A26">
      <w:pPr>
        <w:tabs>
          <w:tab w:val="left" w:pos="8425"/>
        </w:tabs>
        <w:rPr>
          <w:rFonts w:ascii="Times New Roman" w:hAnsi="Times New Roman" w:cs="Times New Roman"/>
          <w:sz w:val="24"/>
          <w:szCs w:val="24"/>
        </w:rPr>
      </w:pPr>
    </w:p>
    <w:p w14:paraId="1BB7DC98">
      <w:pPr>
        <w:tabs>
          <w:tab w:val="left" w:pos="84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>
        <w:fldChar w:fldCharType="begin"/>
      </w:r>
      <w:r>
        <w:instrText xml:space="preserve"> HYPERLINK "https://medsoftpro.ru/kalkulyatory/allgower-index?ysclid=mpxxkj9pzs353731880" </w:instrText>
      </w:r>
      <w:r>
        <w:fldChar w:fldCharType="separate"/>
      </w:r>
      <w:r>
        <w:rPr>
          <w:rStyle w:val="4"/>
          <w:rFonts w:ascii="Times New Roman" w:hAnsi="Times New Roman" w:cs="Times New Roman"/>
          <w:sz w:val="24"/>
          <w:szCs w:val="24"/>
        </w:rPr>
        <w:t>Шоковый индекс Альговера | Онлайн калькулятор</w:t>
      </w:r>
      <w:r>
        <w:rPr>
          <w:rStyle w:val="4"/>
          <w:rFonts w:ascii="Times New Roman" w:hAnsi="Times New Roman" w:cs="Times New Roman"/>
          <w:sz w:val="24"/>
          <w:szCs w:val="24"/>
        </w:rPr>
        <w:fldChar w:fldCharType="end"/>
      </w:r>
    </w:p>
    <w:p w14:paraId="11498E4D">
      <w:pPr>
        <w:tabs>
          <w:tab w:val="left" w:pos="8425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9. Алгоритм оценки состояния пациента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ABCDE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при критических состояниях*</w:t>
      </w:r>
    </w:p>
    <w:p w14:paraId="56DDEA01">
      <w:pPr>
        <w:tabs>
          <w:tab w:val="left" w:pos="8425"/>
        </w:tabs>
        <w:rPr>
          <w:rFonts w:ascii="Times New Roman" w:hAnsi="Times New Roman" w:cs="Times New Roman"/>
          <w:sz w:val="24"/>
          <w:szCs w:val="24"/>
        </w:rPr>
      </w:pPr>
    </w:p>
    <w:p w14:paraId="19FB8B3F">
      <w:pPr>
        <w:tabs>
          <w:tab w:val="left" w:pos="84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6073140" cy="4066540"/>
            <wp:effectExtent l="19050" t="0" r="3696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0656" cy="4085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164221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FDE0C27">
      <w:pPr>
        <w:tabs>
          <w:tab w:val="left" w:pos="2063"/>
        </w:tabs>
        <w:rPr>
          <w:rFonts w:ascii="Times New Roman" w:hAnsi="Times New Roman" w:cs="Times New Roman"/>
          <w:sz w:val="24"/>
          <w:szCs w:val="24"/>
        </w:rPr>
      </w:pPr>
    </w:p>
    <w:p w14:paraId="1B369E8B">
      <w:pPr>
        <w:tabs>
          <w:tab w:val="left" w:pos="2063"/>
        </w:tabs>
        <w:rPr>
          <w:rFonts w:ascii="Times New Roman" w:hAnsi="Times New Roman" w:cs="Times New Roman"/>
          <w:sz w:val="24"/>
          <w:szCs w:val="24"/>
        </w:rPr>
      </w:pPr>
    </w:p>
    <w:p w14:paraId="5C4F3432">
      <w:pPr>
        <w:tabs>
          <w:tab w:val="left" w:pos="2063"/>
        </w:tabs>
        <w:rPr>
          <w:rFonts w:ascii="Times New Roman" w:hAnsi="Times New Roman" w:cs="Times New Roman"/>
          <w:sz w:val="24"/>
          <w:szCs w:val="24"/>
        </w:rPr>
      </w:pPr>
    </w:p>
    <w:p w14:paraId="75594002">
      <w:pPr>
        <w:tabs>
          <w:tab w:val="left" w:pos="2063"/>
        </w:tabs>
        <w:rPr>
          <w:rFonts w:ascii="Times New Roman" w:hAnsi="Times New Roman" w:cs="Times New Roman"/>
          <w:sz w:val="24"/>
          <w:szCs w:val="24"/>
        </w:rPr>
      </w:pPr>
    </w:p>
    <w:p w14:paraId="11C7EADF">
      <w:pPr>
        <w:tabs>
          <w:tab w:val="left" w:pos="2063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C8738EF">
      <w:pPr>
        <w:tabs>
          <w:tab w:val="left" w:pos="2063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*Медицинская помощь в экстренной и неотложной форме при возникновении соматических ситуаций (синдромов) в стоматологической клинике : учебно-методическое пособие / А. А. Астахов, Е. Е. Комиссаров, Н. В. Держинский, М. В. Гаврилов. – Челябинск : Издательский центр «Титул», 2025. – 304 с. – ISBN 978-5-605-45155-6. </w:t>
      </w:r>
    </w:p>
    <w:p w14:paraId="13A2AE1C">
      <w:pPr>
        <w:tabs>
          <w:tab w:val="left" w:pos="206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*https://irkgmu.ru/src/downloads/c516aaaa_avsd_algoritm.pdf     </w:t>
      </w:r>
    </w:p>
    <w:p w14:paraId="7ACEFB68">
      <w:pPr>
        <w:tabs>
          <w:tab w:val="left" w:pos="2063"/>
        </w:tabs>
        <w:rPr>
          <w:rFonts w:ascii="Times New Roman" w:hAnsi="Times New Roman" w:cs="Times New Roman"/>
          <w:sz w:val="24"/>
          <w:szCs w:val="24"/>
        </w:rPr>
      </w:pPr>
    </w:p>
    <w:p w14:paraId="1C6C1158">
      <w:pPr>
        <w:tabs>
          <w:tab w:val="left" w:pos="2063"/>
        </w:tabs>
        <w:rPr>
          <w:rFonts w:ascii="Times New Roman" w:hAnsi="Times New Roman" w:cs="Times New Roman"/>
          <w:sz w:val="24"/>
          <w:szCs w:val="24"/>
        </w:rPr>
      </w:pPr>
    </w:p>
    <w:p w14:paraId="4F955540">
      <w:pPr>
        <w:tabs>
          <w:tab w:val="left" w:pos="206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10. Сортировочная шкала для быстрой оценки состояния пострадавших и определения приоритета в оказании медицинской помощи (SORT)</w:t>
      </w:r>
    </w:p>
    <w:p w14:paraId="4D7DD700">
      <w:pPr>
        <w:tabs>
          <w:tab w:val="left" w:pos="2063"/>
        </w:tabs>
        <w:rPr>
          <w:rFonts w:ascii="Times New Roman" w:hAnsi="Times New Roman" w:cs="Times New Roman"/>
          <w:sz w:val="24"/>
          <w:szCs w:val="24"/>
        </w:rPr>
      </w:pPr>
    </w:p>
    <w:p w14:paraId="1DABA5A1">
      <w:pPr>
        <w:tabs>
          <w:tab w:val="left" w:pos="2063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772785" cy="4067810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5343" cy="4076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53A691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23D71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Интрепретация </w:t>
      </w:r>
    </w:p>
    <w:p w14:paraId="1A7B88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1-10 баллов – стабилизация и первоочередная эвакуация </w:t>
      </w:r>
    </w:p>
    <w:p w14:paraId="53DDF4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 баллов – стабилизация состояния и отсроченная эвакуация </w:t>
      </w:r>
    </w:p>
    <w:p w14:paraId="7D4F84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 баллов – оказание помощи в последнюю очередь, в больницу могут добраться самостоятельно </w:t>
      </w:r>
    </w:p>
    <w:p w14:paraId="04E28711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47D3505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CAD3D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02997F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DEE820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8878BA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3D0F89D">
      <w:pPr>
        <w:tabs>
          <w:tab w:val="left" w:pos="1633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11. Шкала оценки тяжести состояния пациентов с травмами для быстрой оценки состояния, определения приоритетов лечения и прогнозирования исходов  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RTS</w:t>
      </w:r>
      <w:r>
        <w:rPr>
          <w:rFonts w:ascii="Times New Roman" w:hAnsi="Times New Roman" w:cs="Times New Roman"/>
          <w:b/>
          <w:bCs/>
          <w:sz w:val="24"/>
          <w:szCs w:val="24"/>
        </w:rPr>
        <w:t>)*</w:t>
      </w:r>
    </w:p>
    <w:p w14:paraId="37263073">
      <w:pPr>
        <w:tabs>
          <w:tab w:val="left" w:pos="1633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drawing>
          <wp:inline distT="0" distB="0" distL="0" distR="0">
            <wp:extent cx="5363210" cy="4017010"/>
            <wp:effectExtent l="0" t="0" r="889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4841" cy="4025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BC3858">
      <w:pPr>
        <w:tabs>
          <w:tab w:val="left" w:pos="1633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40A9F87">
      <w:pPr>
        <w:tabs>
          <w:tab w:val="left" w:pos="1633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Интерпретация: </w:t>
      </w:r>
    </w:p>
    <w:p w14:paraId="245C2A3F">
      <w:pPr>
        <w:tabs>
          <w:tab w:val="left" w:pos="1633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RTS = 7,84:  Интерпретация: Нормальное состояние (максимальный балл). </w:t>
      </w:r>
    </w:p>
    <w:p w14:paraId="272A9ECD">
      <w:pPr>
        <w:tabs>
          <w:tab w:val="left" w:pos="1633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Описание: Пациент находится в стабильном состоянии, без признаков тяжелой травмы. Вероятность неблагоприятного исхода минимальна. Однако необходимо провести полное обследование, чтобы исключить скрытые повреждения.</w:t>
      </w:r>
    </w:p>
    <w:p w14:paraId="31973B92">
      <w:pPr>
        <w:tabs>
          <w:tab w:val="left" w:pos="1633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8EA679B">
      <w:pPr>
        <w:tabs>
          <w:tab w:val="left" w:pos="1633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RTS = 6,0–7,84: Интерпретация: Легкая травма.</w:t>
      </w:r>
    </w:p>
    <w:p w14:paraId="38C0887C">
      <w:pPr>
        <w:tabs>
          <w:tab w:val="left" w:pos="1633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Описание: Пациент находится в относительно стабильном состоянии, но требует наблюдения и стандартного лечения. Риск осложнений низкий, но необходимо учитывать индивидуальные особенности пациента (например, возраст, сопутствующие заболевания).</w:t>
      </w:r>
    </w:p>
    <w:p w14:paraId="72A71F20">
      <w:pPr>
        <w:tabs>
          <w:tab w:val="left" w:pos="1633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3D4E843">
      <w:pPr>
        <w:tabs>
          <w:tab w:val="left" w:pos="1633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RTS = 4,0–5,99: Интерпретация: Умеренная травма.</w:t>
      </w:r>
    </w:p>
    <w:p w14:paraId="5CCD1244">
      <w:pPr>
        <w:tabs>
          <w:tab w:val="left" w:pos="1633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Описание: Пациент нуждается в более тщательном наблюдении и активном лечении. Возможны осложнения, связанные с травмой, поэтому важно обеспечить своевременную диагностику и терапию. Такие пациенты могут быть кандидатами для транспортировки в специализированный травматологический центр.</w:t>
      </w:r>
    </w:p>
    <w:p w14:paraId="76F6C5A5">
      <w:pPr>
        <w:tabs>
          <w:tab w:val="left" w:pos="1633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539F108">
      <w:pPr>
        <w:tabs>
          <w:tab w:val="left" w:pos="1633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RTS = 0–3,99: Интерпретация: Тяжелая травма.</w:t>
      </w:r>
    </w:p>
    <w:p w14:paraId="58E46B50">
      <w:pPr>
        <w:tabs>
          <w:tab w:val="left" w:pos="1633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Описание: Пациент находится в критическом состоянии с высоким риском неблагоприятного исхода. Требуется немедленное интенсивное лечение, включая реанимационные мероприятия и, возможно, хирургическое вмешательство. Такие пациенты должны быть доставлены в специализированный травматологический центр как можно быстрее.</w:t>
      </w:r>
    </w:p>
    <w:p w14:paraId="2130265F">
      <w:pPr>
        <w:tabs>
          <w:tab w:val="left" w:pos="1633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>
        <w:fldChar w:fldCharType="begin"/>
      </w:r>
      <w:r>
        <w:instrText xml:space="preserve"> HYPERLINK "https://medsoftpro.ru/kalkulyatory/revised-trauma-score?ysclid=mpy0k8g8i5459411321" </w:instrText>
      </w:r>
      <w:r>
        <w:fldChar w:fldCharType="separate"/>
      </w:r>
      <w:r>
        <w:rPr>
          <w:rStyle w:val="4"/>
          <w:rFonts w:ascii="Times New Roman" w:hAnsi="Times New Roman" w:cs="Times New Roman"/>
          <w:sz w:val="24"/>
          <w:szCs w:val="24"/>
        </w:rPr>
        <w:t>https://medsoftpro.ru/kalkulyatory/revised-trauma-score?ysclid=mpy0k8g8i5459411321</w:t>
      </w:r>
      <w:r>
        <w:rPr>
          <w:rStyle w:val="4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3C7030E">
      <w:pPr>
        <w:tabs>
          <w:tab w:val="left" w:pos="1633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12. Шкала оценки риска транспортировки и  изменений состояния  пациента (Modified Early Warning Score,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MEWS</w:t>
      </w:r>
      <w:r>
        <w:rPr>
          <w:rFonts w:ascii="Times New Roman" w:hAnsi="Times New Roman" w:cs="Times New Roman"/>
          <w:b/>
          <w:bCs/>
          <w:sz w:val="24"/>
          <w:szCs w:val="24"/>
        </w:rPr>
        <w:t>)*</w:t>
      </w:r>
    </w:p>
    <w:p w14:paraId="48E3B56C">
      <w:pPr>
        <w:tabs>
          <w:tab w:val="left" w:pos="1633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drawing>
          <wp:inline distT="0" distB="0" distL="0" distR="0">
            <wp:extent cx="5676900" cy="66694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2165" cy="6674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03CDE7">
      <w:pPr>
        <w:tabs>
          <w:tab w:val="left" w:pos="163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26DAF530">
      <w:pPr>
        <w:tabs>
          <w:tab w:val="left" w:pos="163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3F4D9026">
      <w:pPr>
        <w:tabs>
          <w:tab w:val="left" w:pos="163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77D362C4">
      <w:pPr>
        <w:tabs>
          <w:tab w:val="left" w:pos="163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5A1A58D">
      <w:pPr>
        <w:tabs>
          <w:tab w:val="left" w:pos="163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2C2756C3">
      <w:pPr>
        <w:tabs>
          <w:tab w:val="left" w:pos="163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541B733">
      <w:pPr>
        <w:tabs>
          <w:tab w:val="left" w:pos="1633"/>
        </w:tabs>
        <w:rPr>
          <w:rFonts w:ascii="Times New Roman" w:hAnsi="Times New Roman" w:cs="Times New Roman"/>
          <w:sz w:val="24"/>
          <w:szCs w:val="24"/>
        </w:rPr>
      </w:pPr>
      <w:r>
        <w:fldChar w:fldCharType="begin"/>
      </w:r>
      <w:r>
        <w:instrText xml:space="preserve"> HYPERLINK "https://medsoftpro.ru/kalkulyatory/mews?ysclid=mpy0xaffio85130547" </w:instrText>
      </w:r>
      <w:r>
        <w:fldChar w:fldCharType="separate"/>
      </w:r>
      <w:r>
        <w:rPr>
          <w:rStyle w:val="4"/>
          <w:rFonts w:ascii="Times New Roman" w:hAnsi="Times New Roman" w:cs="Times New Roman"/>
          <w:sz w:val="24"/>
          <w:szCs w:val="24"/>
        </w:rPr>
        <w:t>https://medsoftpro.ru/kalkulyatory/mews?ysclid=mpy0xaffio85130547</w:t>
      </w:r>
      <w:r>
        <w:rPr>
          <w:rStyle w:val="4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EFF910"/>
    <w:multiLevelType w:val="singleLevel"/>
    <w:tmpl w:val="94EFF910"/>
    <w:lvl w:ilvl="0" w:tentative="0">
      <w:start w:val="8"/>
      <w:numFmt w:val="decimal"/>
      <w:suff w:val="space"/>
      <w:lvlText w:val="%1."/>
      <w:lvlJc w:val="left"/>
    </w:lvl>
  </w:abstractNum>
  <w:abstractNum w:abstractNumId="1">
    <w:nsid w:val="11F46B0C"/>
    <w:multiLevelType w:val="multilevel"/>
    <w:tmpl w:val="11F46B0C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A840B0"/>
    <w:multiLevelType w:val="multilevel"/>
    <w:tmpl w:val="68A840B0"/>
    <w:lvl w:ilvl="0" w:tentative="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2"/>
  </w:compat>
  <w:rsids>
    <w:rsidRoot w:val="000C71E4"/>
    <w:rsid w:val="00032D8F"/>
    <w:rsid w:val="0009455E"/>
    <w:rsid w:val="000C71E4"/>
    <w:rsid w:val="002E0FB0"/>
    <w:rsid w:val="004351FD"/>
    <w:rsid w:val="0051628A"/>
    <w:rsid w:val="0059191D"/>
    <w:rsid w:val="005F47C6"/>
    <w:rsid w:val="00636782"/>
    <w:rsid w:val="007B3720"/>
    <w:rsid w:val="00833705"/>
    <w:rsid w:val="008A6388"/>
    <w:rsid w:val="00A46AD5"/>
    <w:rsid w:val="00A5551E"/>
    <w:rsid w:val="00AD34E4"/>
    <w:rsid w:val="00B04F04"/>
    <w:rsid w:val="00B925DA"/>
    <w:rsid w:val="00BB61E9"/>
    <w:rsid w:val="00BD6B1A"/>
    <w:rsid w:val="00C37E9F"/>
    <w:rsid w:val="00D25AE0"/>
    <w:rsid w:val="00D83AEB"/>
    <w:rsid w:val="1AC02B5B"/>
    <w:rsid w:val="23443CE8"/>
    <w:rsid w:val="30525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qFormat/>
    <w:uiPriority w:val="99"/>
    <w:rPr>
      <w:color w:val="0000FF"/>
      <w:u w:val="single"/>
    </w:rPr>
  </w:style>
  <w:style w:type="character" w:styleId="5">
    <w:name w:val="Strong"/>
    <w:basedOn w:val="2"/>
    <w:qFormat/>
    <w:uiPriority w:val="22"/>
    <w:rPr>
      <w:b/>
      <w:bCs/>
    </w:rPr>
  </w:style>
  <w:style w:type="paragraph" w:styleId="6">
    <w:name w:val="Balloon Text"/>
    <w:basedOn w:val="1"/>
    <w:link w:val="14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7">
    <w:name w:val="header"/>
    <w:basedOn w:val="1"/>
    <w:link w:val="11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8">
    <w:name w:val="footer"/>
    <w:basedOn w:val="1"/>
    <w:link w:val="12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9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0">
    <w:name w:val="Unresolved Mention"/>
    <w:basedOn w:val="2"/>
    <w:semiHidden/>
    <w:unhideWhenUsed/>
    <w:uiPriority w:val="99"/>
    <w:rPr>
      <w:color w:val="605E5C"/>
      <w:shd w:val="clear" w:color="auto" w:fill="E1DFDD"/>
    </w:rPr>
  </w:style>
  <w:style w:type="character" w:customStyle="1" w:styleId="11">
    <w:name w:val="Верхний колонтитул Знак"/>
    <w:basedOn w:val="2"/>
    <w:link w:val="7"/>
    <w:qFormat/>
    <w:uiPriority w:val="99"/>
  </w:style>
  <w:style w:type="character" w:customStyle="1" w:styleId="12">
    <w:name w:val="Нижний колонтитул Знак"/>
    <w:basedOn w:val="2"/>
    <w:link w:val="8"/>
    <w:qFormat/>
    <w:uiPriority w:val="99"/>
  </w:style>
  <w:style w:type="paragraph" w:styleId="13">
    <w:name w:val="List Paragraph"/>
    <w:basedOn w:val="1"/>
    <w:qFormat/>
    <w:uiPriority w:val="34"/>
    <w:pPr>
      <w:ind w:left="720"/>
      <w:contextualSpacing/>
    </w:pPr>
  </w:style>
  <w:style w:type="character" w:customStyle="1" w:styleId="14">
    <w:name w:val="Текст выноски Знак"/>
    <w:basedOn w:val="2"/>
    <w:link w:val="6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751</Words>
  <Characters>5596</Characters>
  <Lines>54</Lines>
  <Paragraphs>15</Paragraphs>
  <TotalTime>208</TotalTime>
  <ScaleCrop>false</ScaleCrop>
  <LinksUpToDate>false</LinksUpToDate>
  <CharactersWithSpaces>6302</CharactersWithSpaces>
  <Application>WPS Office_12.1.0.26372_F1E327BC-269C-435d-A152-05C5408002CA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2026-06-03T09:07:00Z</dcterms:created>
  <dc:creator>A Astakhov</dc:creator>
  <cp:lastModifiedBy>А. А.</cp:lastModifiedBy>
  <dcterms:modified xsi:type="dcterms:W3CDTF">2026-06-04T04:01:17Z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eyJoZGlkIjoiMzEwNTM5NzYwMDRjMzkwZTVkZjY2ODkwMGIxNGU0OTUiLCJ1c2VySWQiOiI4NDI0Mzc2ODE4OTQifQ==</vt:lpwstr>
  </property>
  <property fmtid="{D5CDD505-2E9C-101B-9397-08002B2CF9AE}" pid="3" name="KSOProductBuildVer">
    <vt:lpwstr>1049-12.1.0.26372</vt:lpwstr>
  </property>
  <property fmtid="{D5CDD505-2E9C-101B-9397-08002B2CF9AE}" pid="4" name="ICV">
    <vt:lpwstr>E62FBD2E8D884F0B9BB3CF4BC86012A9_12</vt:lpwstr>
  </property>
</Properties>
</file>