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page" w:horzAnchor="margin" w:tblpY="1831"/>
        <w:tblW w:w="0" w:type="auto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4700"/>
        <w:gridCol w:w="1276"/>
        <w:gridCol w:w="1712"/>
      </w:tblGrid>
      <w:tr w:rsidR="00541AC7" w:rsidTr="00541AC7">
        <w:trPr>
          <w:trHeight w:val="1674"/>
        </w:trPr>
        <w:tc>
          <w:tcPr>
            <w:tcW w:w="1268" w:type="dxa"/>
          </w:tcPr>
          <w:p w:rsidR="00541AC7" w:rsidRDefault="00541AC7" w:rsidP="00541AC7">
            <w:pPr>
              <w:pStyle w:val="TableParagraph"/>
              <w:spacing w:before="267"/>
              <w:rPr>
                <w:sz w:val="24"/>
              </w:rPr>
            </w:pPr>
          </w:p>
          <w:p w:rsidR="00541AC7" w:rsidRDefault="00541AC7" w:rsidP="00541AC7">
            <w:pPr>
              <w:pStyle w:val="TableParagraph"/>
              <w:spacing w:before="0" w:line="247" w:lineRule="auto"/>
              <w:ind w:left="93" w:right="93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4700" w:type="dxa"/>
          </w:tcPr>
          <w:p w:rsidR="00541AC7" w:rsidRDefault="00541AC7" w:rsidP="00541AC7">
            <w:pPr>
              <w:pStyle w:val="TableParagraph"/>
              <w:spacing w:before="0"/>
              <w:rPr>
                <w:sz w:val="28"/>
              </w:rPr>
            </w:pPr>
          </w:p>
          <w:p w:rsidR="00541AC7" w:rsidRDefault="00541AC7" w:rsidP="00541AC7">
            <w:pPr>
              <w:pStyle w:val="TableParagraph"/>
              <w:spacing w:before="18"/>
              <w:rPr>
                <w:sz w:val="28"/>
              </w:rPr>
            </w:pPr>
          </w:p>
          <w:p w:rsidR="00541AC7" w:rsidRDefault="00541AC7" w:rsidP="00541AC7">
            <w:pPr>
              <w:pStyle w:val="TableParagraph"/>
              <w:spacing w:before="0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276" w:type="dxa"/>
          </w:tcPr>
          <w:p w:rsidR="00541AC7" w:rsidRDefault="00541AC7" w:rsidP="00541AC7">
            <w:pPr>
              <w:pStyle w:val="TableParagraph"/>
              <w:spacing w:before="167" w:line="244" w:lineRule="auto"/>
              <w:ind w:left="137" w:right="209" w:firstLine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Коли- </w:t>
            </w:r>
            <w:proofErr w:type="spellStart"/>
            <w:r>
              <w:rPr>
                <w:spacing w:val="-2"/>
                <w:sz w:val="28"/>
              </w:rPr>
              <w:t>чество</w:t>
            </w:r>
            <w:proofErr w:type="spellEnd"/>
            <w:r>
              <w:rPr>
                <w:spacing w:val="-2"/>
                <w:sz w:val="28"/>
              </w:rPr>
              <w:t xml:space="preserve"> акад. часов</w:t>
            </w:r>
          </w:p>
        </w:tc>
        <w:tc>
          <w:tcPr>
            <w:tcW w:w="1712" w:type="dxa"/>
          </w:tcPr>
          <w:p w:rsidR="00541AC7" w:rsidRDefault="00541AC7" w:rsidP="00541AC7">
            <w:pPr>
              <w:pStyle w:val="TableParagraph"/>
              <w:spacing w:line="244" w:lineRule="auto"/>
              <w:ind w:left="151" w:right="225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Подпись </w:t>
            </w:r>
            <w:r>
              <w:rPr>
                <w:sz w:val="28"/>
              </w:rPr>
              <w:t xml:space="preserve">НПР или </w:t>
            </w:r>
            <w:r>
              <w:rPr>
                <w:spacing w:val="-2"/>
                <w:sz w:val="28"/>
              </w:rPr>
              <w:t xml:space="preserve">иного привлечен-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z w:val="28"/>
              </w:rPr>
              <w:t xml:space="preserve"> лица</w:t>
            </w:r>
          </w:p>
        </w:tc>
      </w:tr>
      <w:tr w:rsidR="00541AC7" w:rsidTr="00541AC7">
        <w:trPr>
          <w:trHeight w:val="690"/>
        </w:trPr>
        <w:tc>
          <w:tcPr>
            <w:tcW w:w="1268" w:type="dxa"/>
          </w:tcPr>
          <w:p w:rsidR="00541AC7" w:rsidRDefault="00541AC7" w:rsidP="00541AC7">
            <w:pPr>
              <w:pStyle w:val="TableParagraph"/>
              <w:ind w:left="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4700" w:type="dxa"/>
          </w:tcPr>
          <w:p w:rsidR="00541AC7" w:rsidRDefault="00541AC7" w:rsidP="00541AC7">
            <w:pPr>
              <w:pStyle w:val="TableParagraph"/>
              <w:spacing w:line="244" w:lineRule="auto"/>
              <w:ind w:left="49"/>
              <w:rPr>
                <w:sz w:val="28"/>
              </w:rPr>
            </w:pPr>
            <w:r>
              <w:rPr>
                <w:sz w:val="28"/>
              </w:rPr>
              <w:t>Гормональные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препараты.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Ферментные средства</w:t>
            </w:r>
          </w:p>
        </w:tc>
        <w:tc>
          <w:tcPr>
            <w:tcW w:w="1276" w:type="dxa"/>
          </w:tcPr>
          <w:p w:rsidR="00541AC7" w:rsidRDefault="00541AC7" w:rsidP="00541AC7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12" w:type="dxa"/>
          </w:tcPr>
          <w:p w:rsidR="00541AC7" w:rsidRDefault="00541AC7" w:rsidP="00541AC7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541AC7" w:rsidTr="00541AC7">
        <w:trPr>
          <w:trHeight w:val="359"/>
        </w:trPr>
        <w:tc>
          <w:tcPr>
            <w:tcW w:w="1268" w:type="dxa"/>
          </w:tcPr>
          <w:p w:rsidR="00541AC7" w:rsidRDefault="00541AC7" w:rsidP="00541AC7">
            <w:pPr>
              <w:pStyle w:val="TableParagraph"/>
              <w:ind w:left="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</w:p>
        </w:tc>
        <w:tc>
          <w:tcPr>
            <w:tcW w:w="4700" w:type="dxa"/>
          </w:tcPr>
          <w:p w:rsidR="00541AC7" w:rsidRDefault="00541AC7" w:rsidP="00541AC7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Витаминные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препараты.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Биостимуляторы.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Средства, влияющие на регенерацию</w:t>
            </w:r>
            <w:r>
              <w:rPr>
                <w:sz w:val="28"/>
              </w:rPr>
              <w:t>.</w:t>
            </w:r>
            <w:r w:rsidR="00800959">
              <w:rPr>
                <w:sz w:val="28"/>
              </w:rPr>
              <w:t xml:space="preserve"> </w:t>
            </w:r>
            <w:r w:rsidR="00800959">
              <w:rPr>
                <w:sz w:val="28"/>
              </w:rPr>
              <w:t>Средства,</w:t>
            </w:r>
            <w:r w:rsidR="00800959">
              <w:rPr>
                <w:spacing w:val="-15"/>
                <w:sz w:val="28"/>
              </w:rPr>
              <w:t xml:space="preserve"> </w:t>
            </w:r>
            <w:r w:rsidR="00800959">
              <w:rPr>
                <w:sz w:val="28"/>
              </w:rPr>
              <w:t>влияющие</w:t>
            </w:r>
            <w:r w:rsidR="00800959">
              <w:rPr>
                <w:spacing w:val="-15"/>
                <w:sz w:val="28"/>
              </w:rPr>
              <w:t xml:space="preserve"> </w:t>
            </w:r>
            <w:r w:rsidR="00800959">
              <w:rPr>
                <w:sz w:val="28"/>
              </w:rPr>
              <w:t xml:space="preserve">на обмен в твёрдых тканях зуба.  </w:t>
            </w:r>
          </w:p>
        </w:tc>
        <w:tc>
          <w:tcPr>
            <w:tcW w:w="1276" w:type="dxa"/>
          </w:tcPr>
          <w:p w:rsidR="00541AC7" w:rsidRDefault="00541AC7" w:rsidP="00541AC7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12" w:type="dxa"/>
          </w:tcPr>
          <w:p w:rsidR="00541AC7" w:rsidRDefault="00541AC7" w:rsidP="00541AC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41AC7" w:rsidTr="00541AC7">
        <w:trPr>
          <w:trHeight w:val="359"/>
        </w:trPr>
        <w:tc>
          <w:tcPr>
            <w:tcW w:w="1268" w:type="dxa"/>
          </w:tcPr>
          <w:p w:rsidR="00541AC7" w:rsidRDefault="00541AC7" w:rsidP="00541AC7">
            <w:pPr>
              <w:pStyle w:val="TableParagraph"/>
              <w:ind w:left="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</w:p>
        </w:tc>
        <w:tc>
          <w:tcPr>
            <w:tcW w:w="4700" w:type="dxa"/>
          </w:tcPr>
          <w:p w:rsidR="00541AC7" w:rsidRDefault="00541AC7" w:rsidP="00541AC7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Противовоспалительные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средства.</w:t>
            </w:r>
            <w:r w:rsidR="00800959">
              <w:rPr>
                <w:sz w:val="28"/>
              </w:rPr>
              <w:t xml:space="preserve"> </w:t>
            </w:r>
            <w:r w:rsidR="00800959">
              <w:rPr>
                <w:sz w:val="28"/>
              </w:rPr>
              <w:t>Противоаллергические</w:t>
            </w:r>
            <w:r w:rsidR="00800959">
              <w:rPr>
                <w:spacing w:val="-18"/>
                <w:sz w:val="28"/>
              </w:rPr>
              <w:t xml:space="preserve"> </w:t>
            </w:r>
            <w:r w:rsidR="00800959">
              <w:rPr>
                <w:sz w:val="28"/>
              </w:rPr>
              <w:t xml:space="preserve">препараты. </w:t>
            </w:r>
            <w:proofErr w:type="spellStart"/>
            <w:r w:rsidR="00800959">
              <w:rPr>
                <w:sz w:val="28"/>
              </w:rPr>
              <w:t>Иммунотропные</w:t>
            </w:r>
            <w:proofErr w:type="spellEnd"/>
            <w:r w:rsidR="00800959">
              <w:rPr>
                <w:sz w:val="28"/>
              </w:rPr>
              <w:t xml:space="preserve"> средства.</w:t>
            </w:r>
          </w:p>
        </w:tc>
        <w:tc>
          <w:tcPr>
            <w:tcW w:w="1276" w:type="dxa"/>
          </w:tcPr>
          <w:p w:rsidR="00541AC7" w:rsidRDefault="00541AC7" w:rsidP="00541AC7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12" w:type="dxa"/>
          </w:tcPr>
          <w:p w:rsidR="00541AC7" w:rsidRDefault="00541AC7" w:rsidP="00541AC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41AC7" w:rsidTr="00541AC7">
        <w:trPr>
          <w:trHeight w:val="359"/>
        </w:trPr>
        <w:tc>
          <w:tcPr>
            <w:tcW w:w="1268" w:type="dxa"/>
          </w:tcPr>
          <w:p w:rsidR="00541AC7" w:rsidRDefault="00541AC7" w:rsidP="00541AC7">
            <w:pPr>
              <w:pStyle w:val="TableParagraph"/>
              <w:ind w:left="1" w:right="1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</w:t>
            </w:r>
          </w:p>
        </w:tc>
        <w:tc>
          <w:tcPr>
            <w:tcW w:w="4700" w:type="dxa"/>
          </w:tcPr>
          <w:p w:rsidR="00541AC7" w:rsidRDefault="00541AC7" w:rsidP="00541AC7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Антисептические и дезинфицирующие средства.</w:t>
            </w:r>
            <w:r w:rsidR="00800959">
              <w:rPr>
                <w:sz w:val="28"/>
              </w:rPr>
              <w:t xml:space="preserve"> </w:t>
            </w:r>
            <w:r w:rsidR="00800959">
              <w:rPr>
                <w:sz w:val="28"/>
              </w:rPr>
              <w:t>Сульфаниламидные</w:t>
            </w:r>
            <w:r w:rsidR="00800959">
              <w:rPr>
                <w:spacing w:val="-17"/>
                <w:sz w:val="28"/>
              </w:rPr>
              <w:t xml:space="preserve"> </w:t>
            </w:r>
            <w:r w:rsidR="00800959">
              <w:rPr>
                <w:sz w:val="28"/>
              </w:rPr>
              <w:t>препараты.  Синтетические</w:t>
            </w:r>
            <w:r w:rsidR="00800959">
              <w:rPr>
                <w:spacing w:val="-17"/>
                <w:sz w:val="28"/>
              </w:rPr>
              <w:t xml:space="preserve"> </w:t>
            </w:r>
            <w:r w:rsidR="00800959">
              <w:rPr>
                <w:sz w:val="28"/>
              </w:rPr>
              <w:t>противомикробные</w:t>
            </w:r>
            <w:r w:rsidR="00800959">
              <w:rPr>
                <w:spacing w:val="-17"/>
                <w:sz w:val="28"/>
              </w:rPr>
              <w:t xml:space="preserve"> </w:t>
            </w:r>
            <w:r w:rsidR="00800959">
              <w:rPr>
                <w:sz w:val="28"/>
              </w:rPr>
              <w:t>средства разной химической структуры.</w:t>
            </w:r>
          </w:p>
        </w:tc>
        <w:tc>
          <w:tcPr>
            <w:tcW w:w="1276" w:type="dxa"/>
          </w:tcPr>
          <w:p w:rsidR="00541AC7" w:rsidRDefault="00541AC7" w:rsidP="00541AC7">
            <w:pPr>
              <w:pStyle w:val="TableParagraph"/>
              <w:ind w:right="2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12" w:type="dxa"/>
          </w:tcPr>
          <w:p w:rsidR="00541AC7" w:rsidRDefault="00541AC7" w:rsidP="00541AC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41AC7" w:rsidTr="00541AC7">
        <w:trPr>
          <w:trHeight w:val="359"/>
        </w:trPr>
        <w:tc>
          <w:tcPr>
            <w:tcW w:w="1268" w:type="dxa"/>
          </w:tcPr>
          <w:p w:rsidR="00541AC7" w:rsidRDefault="00541AC7" w:rsidP="00541AC7">
            <w:pPr>
              <w:pStyle w:val="TableParagraph"/>
              <w:ind w:left="1" w:right="1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</w:t>
            </w:r>
          </w:p>
        </w:tc>
        <w:tc>
          <w:tcPr>
            <w:tcW w:w="4700" w:type="dxa"/>
          </w:tcPr>
          <w:p w:rsidR="00541AC7" w:rsidRDefault="00800959" w:rsidP="00800959">
            <w:pPr>
              <w:pStyle w:val="TableParagraph"/>
              <w:ind w:left="49"/>
              <w:rPr>
                <w:sz w:val="28"/>
              </w:rPr>
            </w:pPr>
            <w:r>
              <w:rPr>
                <w:spacing w:val="-2"/>
                <w:sz w:val="28"/>
              </w:rPr>
              <w:t>Антибиотики</w:t>
            </w:r>
            <w:r>
              <w:rPr>
                <w:spacing w:val="-2"/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Противогрибковые препараты.</w:t>
            </w:r>
          </w:p>
        </w:tc>
        <w:tc>
          <w:tcPr>
            <w:tcW w:w="1276" w:type="dxa"/>
          </w:tcPr>
          <w:p w:rsidR="00541AC7" w:rsidRDefault="00800959" w:rsidP="00541AC7">
            <w:pPr>
              <w:pStyle w:val="TableParagraph"/>
              <w:ind w:right="2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12" w:type="dxa"/>
          </w:tcPr>
          <w:p w:rsidR="00541AC7" w:rsidRDefault="00541AC7" w:rsidP="00541AC7">
            <w:pPr>
              <w:pStyle w:val="TableParagraph"/>
              <w:spacing w:before="0"/>
              <w:rPr>
                <w:sz w:val="26"/>
              </w:rPr>
            </w:pPr>
          </w:p>
        </w:tc>
      </w:tr>
      <w:tr w:rsidR="00541AC7" w:rsidTr="00541AC7">
        <w:trPr>
          <w:trHeight w:val="359"/>
        </w:trPr>
        <w:tc>
          <w:tcPr>
            <w:tcW w:w="1268" w:type="dxa"/>
          </w:tcPr>
          <w:p w:rsidR="00541AC7" w:rsidRDefault="00800959" w:rsidP="00541AC7">
            <w:pPr>
              <w:pStyle w:val="TableParagraph"/>
              <w:ind w:left="1" w:right="1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4700" w:type="dxa"/>
          </w:tcPr>
          <w:p w:rsidR="00800959" w:rsidRDefault="00800959" w:rsidP="00800959">
            <w:pPr>
              <w:pStyle w:val="TableParagraph"/>
              <w:spacing w:line="242" w:lineRule="auto"/>
              <w:ind w:left="49"/>
              <w:rPr>
                <w:sz w:val="28"/>
              </w:rPr>
            </w:pPr>
            <w:r>
              <w:rPr>
                <w:sz w:val="28"/>
              </w:rPr>
              <w:t>Противовирусные средства</w:t>
            </w:r>
            <w:r>
              <w:rPr>
                <w:sz w:val="28"/>
              </w:rPr>
              <w:t>.  Обзор</w:t>
            </w:r>
            <w:r>
              <w:rPr>
                <w:sz w:val="28"/>
              </w:rPr>
              <w:t xml:space="preserve"> “Средства, влияющие на обменные процессы.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Препараты,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применяющиеся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 типовых патологических состояниях.</w:t>
            </w:r>
          </w:p>
          <w:p w:rsidR="00541AC7" w:rsidRDefault="00800959" w:rsidP="00800959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Химиотерапевтические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средства”</w:t>
            </w:r>
          </w:p>
        </w:tc>
        <w:tc>
          <w:tcPr>
            <w:tcW w:w="1276" w:type="dxa"/>
          </w:tcPr>
          <w:p w:rsidR="00541AC7" w:rsidRDefault="00800959" w:rsidP="00541AC7">
            <w:pPr>
              <w:pStyle w:val="TableParagraph"/>
              <w:ind w:right="2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712" w:type="dxa"/>
          </w:tcPr>
          <w:p w:rsidR="00541AC7" w:rsidRDefault="00541AC7" w:rsidP="00541AC7">
            <w:pPr>
              <w:pStyle w:val="TableParagraph"/>
              <w:spacing w:before="0"/>
              <w:rPr>
                <w:sz w:val="26"/>
              </w:rPr>
            </w:pPr>
          </w:p>
        </w:tc>
      </w:tr>
    </w:tbl>
    <w:p w:rsidR="00541AC7" w:rsidRDefault="00541AC7">
      <w:pPr>
        <w:pStyle w:val="TableParagraph"/>
        <w:rPr>
          <w:sz w:val="26"/>
        </w:rPr>
      </w:pPr>
    </w:p>
    <w:p w:rsidR="00005E8F" w:rsidRPr="00541AC7" w:rsidRDefault="00541AC7" w:rsidP="00541AC7">
      <w:pPr>
        <w:rPr>
          <w:rFonts w:ascii="Times New Roman" w:hAnsi="Times New Roman" w:cs="Times New Roman"/>
          <w:b/>
          <w:sz w:val="28"/>
          <w:szCs w:val="28"/>
        </w:rPr>
        <w:sectPr w:rsidR="00005E8F" w:rsidRPr="00541AC7">
          <w:type w:val="continuous"/>
          <w:pgSz w:w="11910" w:h="16840"/>
          <w:pgMar w:top="640" w:right="850" w:bottom="1047" w:left="850" w:header="720" w:footer="720" w:gutter="0"/>
          <w:cols w:space="720"/>
        </w:sectPr>
      </w:pPr>
      <w:r w:rsidRPr="00541AC7">
        <w:rPr>
          <w:rFonts w:ascii="Times New Roman" w:hAnsi="Times New Roman" w:cs="Times New Roman"/>
          <w:b/>
          <w:sz w:val="28"/>
          <w:szCs w:val="28"/>
        </w:rPr>
        <w:t>План практических занятий для студентов специальности Стоматология в 6 семестре</w:t>
      </w:r>
    </w:p>
    <w:p w:rsidR="00AE1B11" w:rsidRDefault="00AE1B11">
      <w:bookmarkStart w:id="0" w:name="_GoBack"/>
      <w:bookmarkEnd w:id="0"/>
    </w:p>
    <w:sectPr w:rsidR="00AE1B11">
      <w:type w:val="continuous"/>
      <w:pgSz w:w="11910" w:h="16840"/>
      <w:pgMar w:top="6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8F"/>
    <w:rsid w:val="00005E8F"/>
    <w:rsid w:val="00541AC7"/>
    <w:rsid w:val="006D4586"/>
    <w:rsid w:val="00800959"/>
    <w:rsid w:val="00A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03F3"/>
  <w15:docId w15:val="{858B583A-23B0-4203-A44C-221DB2A0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Коротовских Лариса Степановна</dc:creator>
  <cp:lastModifiedBy>Коротовских Лариса Степановна</cp:lastModifiedBy>
  <cp:revision>3</cp:revision>
  <dcterms:created xsi:type="dcterms:W3CDTF">2026-03-26T08:30:00Z</dcterms:created>
  <dcterms:modified xsi:type="dcterms:W3CDTF">2026-03-26T08:45:00Z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2026-03-26T00:00:00Z</vt:filetime>
  </property>
</Properties>
</file>