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6" w:rsidRPr="009C7196" w:rsidRDefault="009C7196" w:rsidP="009C7196">
      <w:pPr>
        <w:rPr>
          <w:b/>
        </w:rPr>
      </w:pPr>
      <w:bookmarkStart w:id="0" w:name="_GoBack"/>
      <w:r w:rsidRPr="009C7196">
        <w:rPr>
          <w:b/>
        </w:rPr>
        <w:t>Специальность 32.08.07 Общая гигиена (2 год обучения)</w:t>
      </w:r>
    </w:p>
    <w:p w:rsidR="009C7196" w:rsidRPr="009C7196" w:rsidRDefault="009C7196" w:rsidP="009C7196">
      <w:pPr>
        <w:rPr>
          <w:b/>
        </w:rPr>
      </w:pPr>
      <w:r w:rsidRPr="009C7196">
        <w:rPr>
          <w:b/>
        </w:rPr>
        <w:t xml:space="preserve">Вопросы к вариативной практике - </w:t>
      </w:r>
      <w:r w:rsidRPr="009C7196">
        <w:rPr>
          <w:b/>
        </w:rPr>
        <w:t>Социально-гигиенический мониторинг и оценка риска</w:t>
      </w:r>
      <w:bookmarkEnd w:id="0"/>
      <w:r w:rsidRPr="009C7196">
        <w:rPr>
          <w:b/>
        </w:rPr>
        <w:t>: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Законодательное и методическое обеспечение социально-гигиенического мониторинга.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Организация наблюдения за качеством атмосферного воздуха населенных мест в Российской Федерации.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Мониторинг водных объектов и индикативные показатели, характеризующие качество и безопасность питьевой воды.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Санитарно-эпидемиологическая безопасность и мониторинг почвы населенных мест.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Организация мониторинга качества и безопасности</w:t>
      </w:r>
      <w:r>
        <w:t xml:space="preserve"> </w:t>
      </w:r>
      <w:r>
        <w:t>продовольственного сырья и пищевых продуктов.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Медико-демографические показатели наблюдения в системе СГМ.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Показатели здоровья населения в системе СГМ. Цели, анализ, прогноз.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Основные элементы анализа риска.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Место риска в системе социально-гигиенического мониторинга.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Этапы анализа риска здоровью населения.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Разработка и принятие управленческих решений по результатам оценки риска.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Комплексная многофакторная оценка среды обитания.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>Информирование органов власти и населения по итогам проведения оценки риска.</w:t>
      </w:r>
    </w:p>
    <w:p w:rsidR="009C7196" w:rsidRDefault="009C7196" w:rsidP="009C7196">
      <w:pPr>
        <w:pStyle w:val="a3"/>
        <w:numPr>
          <w:ilvl w:val="0"/>
          <w:numId w:val="1"/>
        </w:numPr>
      </w:pPr>
      <w:r>
        <w:t xml:space="preserve">Оценка </w:t>
      </w:r>
      <w:proofErr w:type="spellStart"/>
      <w:r>
        <w:t>неканцерогенного</w:t>
      </w:r>
      <w:proofErr w:type="spellEnd"/>
      <w:r>
        <w:t xml:space="preserve"> риска. Суть метода, характеристика риска. Оценка канцерогенного риска. Критерии оценки.</w:t>
      </w:r>
    </w:p>
    <w:p w:rsidR="00291CEF" w:rsidRDefault="009C7196" w:rsidP="009C7196">
      <w:pPr>
        <w:pStyle w:val="a3"/>
        <w:numPr>
          <w:ilvl w:val="0"/>
          <w:numId w:val="1"/>
        </w:numPr>
      </w:pPr>
      <w:r>
        <w:t>Комплексная оценка риска.</w:t>
      </w:r>
    </w:p>
    <w:sectPr w:rsidR="00291CEF" w:rsidSect="009C71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692C"/>
    <w:multiLevelType w:val="hybridMultilevel"/>
    <w:tmpl w:val="2D2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6"/>
    <w:rsid w:val="00066349"/>
    <w:rsid w:val="00291CEF"/>
    <w:rsid w:val="004A756F"/>
    <w:rsid w:val="0062210F"/>
    <w:rsid w:val="006F41D0"/>
    <w:rsid w:val="008F1B24"/>
    <w:rsid w:val="009C7196"/>
    <w:rsid w:val="00AC5E4A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37D0"/>
  <w15:chartTrackingRefBased/>
  <w15:docId w15:val="{DBA6D7AB-B607-4041-9243-775C8A7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1</cp:revision>
  <dcterms:created xsi:type="dcterms:W3CDTF">2025-06-23T14:55:00Z</dcterms:created>
  <dcterms:modified xsi:type="dcterms:W3CDTF">2025-06-23T14:58:00Z</dcterms:modified>
</cp:coreProperties>
</file>