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A5" w:rsidRPr="00F25254" w:rsidRDefault="00594DA5" w:rsidP="00E37806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550F5">
        <w:rPr>
          <w:rFonts w:ascii="Times New Roman" w:hAnsi="Times New Roman"/>
          <w:b/>
          <w:sz w:val="24"/>
          <w:szCs w:val="24"/>
        </w:rPr>
        <w:t xml:space="preserve">ПЕРЕЧЕНЬ ВОПРОСОВ </w:t>
      </w:r>
      <w:r w:rsidR="00E37806">
        <w:rPr>
          <w:rFonts w:ascii="Times New Roman" w:hAnsi="Times New Roman"/>
          <w:b/>
          <w:sz w:val="24"/>
          <w:szCs w:val="24"/>
        </w:rPr>
        <w:t>ДЛЯ ПОДГОТОВКИ К ЗАЧЕТУ</w:t>
      </w:r>
    </w:p>
    <w:p w:rsidR="00594DA5" w:rsidRPr="00F25254" w:rsidRDefault="00594DA5" w:rsidP="00594DA5">
      <w:pPr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37806">
        <w:rPr>
          <w:rFonts w:ascii="Times New Roman" w:hAnsi="Times New Roman"/>
          <w:sz w:val="24"/>
          <w:szCs w:val="24"/>
        </w:rPr>
        <w:t xml:space="preserve">Роль углеводов в организме. Источники поступления. Функции.  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Обмен углеводов в организме. Основные метаболические пути глюкозы в организме. Гликолиз.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Нейрогуморальные механизмы регуляции углеводного обмена в организме.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Классификация нарушений углеводного обмена.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Гипогликемии, этиология, патогенез, механизмы компенсации, клинико-лабораторные проявления.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Гипергликемии, этиология, патогенез, механизмы ко</w:t>
      </w:r>
      <w:r w:rsidR="002E097B" w:rsidRPr="00E37806">
        <w:rPr>
          <w:rFonts w:ascii="Times New Roman" w:hAnsi="Times New Roman"/>
          <w:sz w:val="24"/>
          <w:szCs w:val="24"/>
        </w:rPr>
        <w:t>мпенсации, клинико-лабораторные</w:t>
      </w:r>
      <w:r w:rsidRPr="00E37806">
        <w:rPr>
          <w:rFonts w:ascii="Times New Roman" w:hAnsi="Times New Roman"/>
          <w:sz w:val="24"/>
          <w:szCs w:val="24"/>
        </w:rPr>
        <w:t xml:space="preserve"> проявления.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Патофизиология сахарного диабета. Классификация, этиология, патогенез, клинико- лабораторные проявления.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Осложнения сахарного диабета. Комы. Виды, механизмы.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Атеросклероз, факторы риска атеросклероза.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Биохимические основы развития атеросклероза.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Атерогенные и антиатерогенные липопротеины.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Роль окислительного стресса в развитии атеросклероза.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Теории атеросклероза.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Роль атеросклероза в развитии заболеваний сердечно-сосудистой системы.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 xml:space="preserve">1.Определение и классификация ИБС 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2.Этиология стенокардии, инфаркта миокарда, синдрома внезапной коронарной смерти.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3.Патогенез ИБС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4.Синдром ишемии-</w:t>
      </w:r>
      <w:proofErr w:type="spellStart"/>
      <w:r w:rsidRPr="00E37806">
        <w:rPr>
          <w:rFonts w:ascii="Times New Roman" w:hAnsi="Times New Roman"/>
          <w:sz w:val="24"/>
          <w:szCs w:val="24"/>
        </w:rPr>
        <w:t>реперфузии</w:t>
      </w:r>
      <w:proofErr w:type="spellEnd"/>
      <w:r w:rsidRPr="00E37806">
        <w:rPr>
          <w:rFonts w:ascii="Times New Roman" w:hAnsi="Times New Roman"/>
          <w:sz w:val="24"/>
          <w:szCs w:val="24"/>
        </w:rPr>
        <w:t>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Общая характеристика движения крови по сосудам, параметры системной гемодинамики.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Механизмы регуляции артериального давления.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Артериальные гипертензии, определение, классификация.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Причины развития артериальных гипертензий.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Первичная артериальная гипертензия, этиология, патогенез.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Вторичные артериальные гипертензии, их виды, причины и механизмы развития.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Особенности гемодинамики при различных видах артериальных гипертензий.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Сердечная недостаточность. Определение, причины. Стадии.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 xml:space="preserve">Классификация сердечной недостаточности. 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37806">
        <w:rPr>
          <w:rFonts w:ascii="Times New Roman" w:hAnsi="Times New Roman"/>
          <w:bCs/>
          <w:sz w:val="24"/>
          <w:szCs w:val="24"/>
        </w:rPr>
        <w:t>Хроническая сердечная недостаточность, механизмы развития: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shd w:val="clear" w:color="auto" w:fill="FFFFFF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 xml:space="preserve">- в </w:t>
      </w:r>
      <w:r w:rsidRPr="00E37806">
        <w:rPr>
          <w:rFonts w:ascii="Times New Roman" w:hAnsi="Times New Roman"/>
          <w:bCs/>
          <w:sz w:val="24"/>
          <w:szCs w:val="24"/>
        </w:rPr>
        <w:t>аварийную стадию (неустойчивой компенсации)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E37806">
        <w:rPr>
          <w:rFonts w:ascii="Times New Roman" w:eastAsia="Arial Unicode MS" w:hAnsi="Times New Roman"/>
          <w:bCs/>
          <w:sz w:val="24"/>
          <w:szCs w:val="24"/>
        </w:rPr>
        <w:t>- в стадию устойчивой компенсации (патологической гипертрофии)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37806">
        <w:rPr>
          <w:rFonts w:ascii="Times New Roman" w:hAnsi="Times New Roman"/>
          <w:bCs/>
          <w:sz w:val="24"/>
          <w:szCs w:val="24"/>
        </w:rPr>
        <w:t>- в стадию истощения (прогрессирующего кардиосклероза)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Сердечные отеки, механизмы формирования.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 xml:space="preserve">Острая сердечная недостаточность (кардиогенный шок, отек легких). 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 xml:space="preserve">Анемия, определение, основные принципы классификации анемий: по </w:t>
      </w:r>
      <w:proofErr w:type="spellStart"/>
      <w:r w:rsidRPr="00E37806">
        <w:rPr>
          <w:rFonts w:ascii="Times New Roman" w:hAnsi="Times New Roman"/>
          <w:sz w:val="24"/>
          <w:szCs w:val="24"/>
        </w:rPr>
        <w:t>этиопатогенезу</w:t>
      </w:r>
      <w:proofErr w:type="spellEnd"/>
      <w:r w:rsidRPr="00E37806">
        <w:rPr>
          <w:rFonts w:ascii="Times New Roman" w:hAnsi="Times New Roman"/>
          <w:sz w:val="24"/>
          <w:szCs w:val="24"/>
        </w:rPr>
        <w:t xml:space="preserve"> (по Кассирскому); по цветовому показателю; по размеру (объему) эритроцитов; по регенераторной способности костного мозга, типу </w:t>
      </w:r>
      <w:proofErr w:type="spellStart"/>
      <w:r w:rsidRPr="00E37806">
        <w:rPr>
          <w:rFonts w:ascii="Times New Roman" w:hAnsi="Times New Roman"/>
          <w:sz w:val="24"/>
          <w:szCs w:val="24"/>
        </w:rPr>
        <w:t>эритропоэза</w:t>
      </w:r>
      <w:proofErr w:type="spellEnd"/>
      <w:r w:rsidRPr="00E37806">
        <w:rPr>
          <w:rFonts w:ascii="Times New Roman" w:hAnsi="Times New Roman"/>
          <w:sz w:val="24"/>
          <w:szCs w:val="24"/>
        </w:rPr>
        <w:t>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Постгеморрагические анемии (ПГА). Острая ПГА: этиология, патогенез, стадии, принципы лабораторной диагностики. Хроническая ПГА.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 xml:space="preserve">Железодефицитная анемия: этиология, патогенез, принципы лабораторной диагностики, клинические проявления. 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bCs/>
          <w:sz w:val="24"/>
          <w:szCs w:val="24"/>
        </w:rPr>
        <w:lastRenderedPageBreak/>
        <w:t>B12 (фолиево) - дефицитная анемия</w:t>
      </w:r>
      <w:r w:rsidRPr="00E37806">
        <w:rPr>
          <w:rFonts w:ascii="Times New Roman" w:hAnsi="Times New Roman"/>
          <w:sz w:val="24"/>
          <w:szCs w:val="24"/>
        </w:rPr>
        <w:t xml:space="preserve">: этиология, патогенез, принципы лабораторной диагностики, клинические проявления. 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 xml:space="preserve">Этиология, патогенез, принципы лабораторной диагностики, клинические проявления </w:t>
      </w:r>
      <w:proofErr w:type="spellStart"/>
      <w:r w:rsidRPr="00E37806">
        <w:rPr>
          <w:rFonts w:ascii="Times New Roman" w:hAnsi="Times New Roman"/>
          <w:sz w:val="24"/>
          <w:szCs w:val="24"/>
        </w:rPr>
        <w:t>гипо</w:t>
      </w:r>
      <w:proofErr w:type="spellEnd"/>
      <w:r w:rsidRPr="00E37806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E37806">
        <w:rPr>
          <w:rFonts w:ascii="Times New Roman" w:hAnsi="Times New Roman"/>
          <w:sz w:val="24"/>
          <w:szCs w:val="24"/>
        </w:rPr>
        <w:t>апластической</w:t>
      </w:r>
      <w:proofErr w:type="spellEnd"/>
      <w:r w:rsidRPr="00E37806">
        <w:rPr>
          <w:rFonts w:ascii="Times New Roman" w:hAnsi="Times New Roman"/>
          <w:sz w:val="24"/>
          <w:szCs w:val="24"/>
        </w:rPr>
        <w:t xml:space="preserve"> анемии.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Гемолитические анемии: классификация; клинические проявления при гемолитических анемиях.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 xml:space="preserve">Этиология, патогенез, проявления, принципы лабораторной диагностики врожденных гемолитических анемий. 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tabs>
          <w:tab w:val="num" w:pos="709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>Приобретенные гемолитические анемии: особенности этиологии и патогенеза, принципы лабораторной диагностики, клинические проявления.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tabs>
          <w:tab w:val="num" w:pos="709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color w:val="000000"/>
          <w:spacing w:val="-2"/>
          <w:sz w:val="24"/>
          <w:szCs w:val="24"/>
        </w:rPr>
        <w:t xml:space="preserve">Лейкоцитозы: определение понятия, классификация. </w:t>
      </w:r>
      <w:r w:rsidRPr="00E37806">
        <w:rPr>
          <w:rFonts w:ascii="Times New Roman" w:hAnsi="Times New Roman"/>
          <w:color w:val="000000"/>
          <w:sz w:val="24"/>
          <w:szCs w:val="24"/>
        </w:rPr>
        <w:t>Этиологические факторы и механизмы развития.</w:t>
      </w:r>
    </w:p>
    <w:p w:rsidR="00594DA5" w:rsidRPr="003550F5" w:rsidRDefault="00594DA5" w:rsidP="00E37806">
      <w:pPr>
        <w:pStyle w:val="msonormalcxspmiddle"/>
        <w:numPr>
          <w:ilvl w:val="0"/>
          <w:numId w:val="9"/>
        </w:numPr>
        <w:adjustRightInd w:val="0"/>
        <w:spacing w:after="0"/>
        <w:jc w:val="both"/>
      </w:pPr>
      <w:r w:rsidRPr="003550F5">
        <w:rPr>
          <w:color w:val="000000"/>
        </w:rPr>
        <w:t>Лейкоцитарная формула в норме и патологии. Диагностическое значение изменений лейкоцитарной формулы.</w:t>
      </w:r>
    </w:p>
    <w:p w:rsidR="00594DA5" w:rsidRPr="003550F5" w:rsidRDefault="00594DA5" w:rsidP="00E37806">
      <w:pPr>
        <w:pStyle w:val="msonormalcxspmiddle"/>
        <w:numPr>
          <w:ilvl w:val="0"/>
          <w:numId w:val="9"/>
        </w:numPr>
        <w:adjustRightInd w:val="0"/>
        <w:spacing w:after="0"/>
        <w:jc w:val="both"/>
      </w:pPr>
      <w:r w:rsidRPr="003550F5">
        <w:rPr>
          <w:color w:val="000000"/>
          <w:spacing w:val="-2"/>
        </w:rPr>
        <w:t xml:space="preserve">Лейкопении: определение понятия, классификация. Этиология и </w:t>
      </w:r>
      <w:r w:rsidRPr="003550F5">
        <w:rPr>
          <w:color w:val="000000"/>
          <w:spacing w:val="1"/>
        </w:rPr>
        <w:t xml:space="preserve">патогенез. </w:t>
      </w:r>
      <w:proofErr w:type="spellStart"/>
      <w:r w:rsidRPr="003550F5">
        <w:rPr>
          <w:color w:val="000000"/>
          <w:spacing w:val="1"/>
        </w:rPr>
        <w:t>Агранулоцитоз</w:t>
      </w:r>
      <w:proofErr w:type="spellEnd"/>
      <w:r w:rsidRPr="003550F5">
        <w:rPr>
          <w:color w:val="000000"/>
          <w:spacing w:val="1"/>
        </w:rPr>
        <w:t>. Клинические проявления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tabs>
          <w:tab w:val="num" w:pos="709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color w:val="000000"/>
          <w:sz w:val="24"/>
          <w:szCs w:val="24"/>
        </w:rPr>
        <w:t>Дисфункции лейкоцитов, виды, причины. Клинические проявления.</w:t>
      </w:r>
    </w:p>
    <w:p w:rsidR="00594DA5" w:rsidRPr="003550F5" w:rsidRDefault="00594DA5" w:rsidP="00E37806">
      <w:pPr>
        <w:pStyle w:val="msonormalcxspmiddle"/>
        <w:numPr>
          <w:ilvl w:val="0"/>
          <w:numId w:val="9"/>
        </w:numPr>
        <w:adjustRightInd w:val="0"/>
        <w:spacing w:after="0"/>
        <w:jc w:val="both"/>
      </w:pPr>
      <w:r w:rsidRPr="003550F5">
        <w:rPr>
          <w:color w:val="000000"/>
        </w:rPr>
        <w:t xml:space="preserve">Классификация лейкозов, основы диагностики острых и </w:t>
      </w:r>
      <w:r w:rsidRPr="003550F5">
        <w:rPr>
          <w:color w:val="000000"/>
          <w:spacing w:val="-2"/>
        </w:rPr>
        <w:t>хронических лейкозов.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 xml:space="preserve">Компоненты </w:t>
      </w:r>
      <w:proofErr w:type="spellStart"/>
      <w:r w:rsidRPr="00E37806">
        <w:rPr>
          <w:rFonts w:ascii="Times New Roman" w:hAnsi="Times New Roman"/>
          <w:sz w:val="24"/>
          <w:szCs w:val="24"/>
        </w:rPr>
        <w:t>антикоагуляционной</w:t>
      </w:r>
      <w:proofErr w:type="spellEnd"/>
      <w:r w:rsidRPr="00E378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37806">
        <w:rPr>
          <w:rFonts w:ascii="Times New Roman" w:hAnsi="Times New Roman"/>
          <w:sz w:val="24"/>
          <w:szCs w:val="24"/>
        </w:rPr>
        <w:t>фибринолитической</w:t>
      </w:r>
      <w:proofErr w:type="spellEnd"/>
      <w:r w:rsidRPr="00E37806">
        <w:rPr>
          <w:rFonts w:ascii="Times New Roman" w:hAnsi="Times New Roman"/>
          <w:sz w:val="24"/>
          <w:szCs w:val="24"/>
        </w:rPr>
        <w:t xml:space="preserve"> систем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7806">
        <w:rPr>
          <w:rFonts w:ascii="Times New Roman" w:hAnsi="Times New Roman"/>
          <w:sz w:val="24"/>
          <w:szCs w:val="24"/>
        </w:rPr>
        <w:t>Предтромботические</w:t>
      </w:r>
      <w:proofErr w:type="spellEnd"/>
      <w:r w:rsidRPr="00E37806">
        <w:rPr>
          <w:rFonts w:ascii="Times New Roman" w:hAnsi="Times New Roman"/>
          <w:sz w:val="24"/>
          <w:szCs w:val="24"/>
        </w:rPr>
        <w:t xml:space="preserve"> и тромботические состояния. Причины, классификация и патогенез. 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 xml:space="preserve">Дефицит антитромбина III, антифосфолипидный синдром, </w:t>
      </w:r>
      <w:proofErr w:type="spellStart"/>
      <w:r w:rsidRPr="00E37806">
        <w:rPr>
          <w:rFonts w:ascii="Times New Roman" w:hAnsi="Times New Roman"/>
          <w:sz w:val="24"/>
          <w:szCs w:val="24"/>
        </w:rPr>
        <w:t>гипергомоцистеинемия</w:t>
      </w:r>
      <w:proofErr w:type="spellEnd"/>
      <w:r w:rsidRPr="00E37806">
        <w:rPr>
          <w:rFonts w:ascii="Times New Roman" w:hAnsi="Times New Roman"/>
          <w:sz w:val="24"/>
          <w:szCs w:val="24"/>
        </w:rPr>
        <w:t>. Этиология, патогенез, клинические проявления, лабораторная диагностика.</w:t>
      </w:r>
    </w:p>
    <w:p w:rsidR="00594DA5" w:rsidRPr="00E37806" w:rsidRDefault="00594DA5" w:rsidP="00E37806">
      <w:pPr>
        <w:pStyle w:val="a3"/>
        <w:numPr>
          <w:ilvl w:val="0"/>
          <w:numId w:val="9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E37806">
        <w:rPr>
          <w:rFonts w:ascii="Times New Roman" w:hAnsi="Times New Roman"/>
          <w:sz w:val="24"/>
          <w:szCs w:val="24"/>
        </w:rPr>
        <w:t xml:space="preserve">Принципы лабораторной диагностики нарушений системы </w:t>
      </w:r>
      <w:proofErr w:type="spellStart"/>
      <w:r w:rsidRPr="00E37806">
        <w:rPr>
          <w:rFonts w:ascii="Times New Roman" w:hAnsi="Times New Roman"/>
          <w:sz w:val="24"/>
          <w:szCs w:val="24"/>
        </w:rPr>
        <w:t>антигемостаза</w:t>
      </w:r>
      <w:proofErr w:type="spellEnd"/>
      <w:r w:rsidRPr="00E37806">
        <w:rPr>
          <w:rFonts w:ascii="Times New Roman" w:hAnsi="Times New Roman"/>
          <w:sz w:val="24"/>
          <w:szCs w:val="24"/>
        </w:rPr>
        <w:t>.</w:t>
      </w:r>
    </w:p>
    <w:bookmarkEnd w:id="0"/>
    <w:p w:rsidR="00EE6770" w:rsidRDefault="00EE6770"/>
    <w:sectPr w:rsidR="00EE6770" w:rsidSect="00E378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0799"/>
    <w:multiLevelType w:val="hybridMultilevel"/>
    <w:tmpl w:val="E520845C"/>
    <w:lvl w:ilvl="0" w:tplc="C0C27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1F108B"/>
    <w:multiLevelType w:val="hybridMultilevel"/>
    <w:tmpl w:val="AF9CA6AE"/>
    <w:lvl w:ilvl="0" w:tplc="E05A6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0A9E"/>
    <w:multiLevelType w:val="hybridMultilevel"/>
    <w:tmpl w:val="F76E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0257F"/>
    <w:multiLevelType w:val="hybridMultilevel"/>
    <w:tmpl w:val="00E010FC"/>
    <w:lvl w:ilvl="0" w:tplc="D402FC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B9C3D23"/>
    <w:multiLevelType w:val="hybridMultilevel"/>
    <w:tmpl w:val="F4701090"/>
    <w:lvl w:ilvl="0" w:tplc="8D161BB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62924A7C"/>
    <w:multiLevelType w:val="hybridMultilevel"/>
    <w:tmpl w:val="D7C2E802"/>
    <w:lvl w:ilvl="0" w:tplc="EE16695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BE6AE6"/>
    <w:multiLevelType w:val="hybridMultilevel"/>
    <w:tmpl w:val="D318B52E"/>
    <w:lvl w:ilvl="0" w:tplc="E05A6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FD2305"/>
    <w:multiLevelType w:val="hybridMultilevel"/>
    <w:tmpl w:val="188E5208"/>
    <w:lvl w:ilvl="0" w:tplc="349A46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71E35FC6"/>
    <w:multiLevelType w:val="hybridMultilevel"/>
    <w:tmpl w:val="7EBA1D20"/>
    <w:lvl w:ilvl="0" w:tplc="1580274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A5"/>
    <w:rsid w:val="002E097B"/>
    <w:rsid w:val="00594DA5"/>
    <w:rsid w:val="00E37806"/>
    <w:rsid w:val="00E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DB99"/>
  <w15:chartTrackingRefBased/>
  <w15:docId w15:val="{4A723513-2D1A-40A4-91EF-685E43B4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A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4DA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msonormalcxspmiddle">
    <w:name w:val="msonormalcxspmiddle"/>
    <w:basedOn w:val="a"/>
    <w:rsid w:val="00594DA5"/>
    <w:pPr>
      <w:widowControl/>
      <w:autoSpaceDE/>
      <w:autoSpaceDN/>
      <w:spacing w:after="75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Анна Алексеевна</dc:creator>
  <cp:keywords/>
  <dc:description/>
  <cp:lastModifiedBy>Агеева Анна Алексеевна</cp:lastModifiedBy>
  <cp:revision>3</cp:revision>
  <dcterms:created xsi:type="dcterms:W3CDTF">2025-09-01T11:24:00Z</dcterms:created>
  <dcterms:modified xsi:type="dcterms:W3CDTF">2025-09-01T11:25:00Z</dcterms:modified>
</cp:coreProperties>
</file>