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aps/>
          <w:sz w:val="24"/>
          <w:szCs w:val="24"/>
        </w:rPr>
        <w:t>практическое занятие №1</w:t>
      </w: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Тема: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Введение в педиатрию.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Общие принципы организации педиатрической службы. Основные принципы организации стационарной и поликлинической помощи детям. Понятие перинатального периода, перинатальной смертности. Действие вредных факторов на развитие эмбриона и плода. Периоды детского возраста.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Особенности сбора анамнеза в педиатрии.</w:t>
      </w:r>
    </w:p>
    <w:p w:rsidR="002A280D" w:rsidRDefault="002A280D" w:rsidP="002A280D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shd w:val="clear" w:color="auto" w:fill="FFFFFF"/>
        <w:tabs>
          <w:tab w:val="left" w:pos="374"/>
        </w:tabs>
        <w:autoSpaceDE/>
        <w:adjustRightInd w:val="0"/>
        <w:spacing w:line="276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color w:val="000000"/>
          <w:spacing w:val="-16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/>
          <w:spacing w:val="-4"/>
          <w:sz w:val="24"/>
          <w:szCs w:val="24"/>
        </w:rPr>
        <w:t>Вопросы для подготовки по теме.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56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26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Причины не вынашивания беременности.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56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Этапы внутриутробного развития плода.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26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Подготовка семьи к появлению ребенка, уход за новорожденным.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 xml:space="preserve">Адаптация детей к рождению и условиям </w:t>
      </w:r>
      <w:proofErr w:type="spellStart"/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внеутробной</w:t>
      </w:r>
      <w:proofErr w:type="spellEnd"/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 xml:space="preserve"> жизни.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Пограничные состояния у новорожденных детей.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Понятие и критерии живорождения.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19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5"/>
          <w:sz w:val="24"/>
          <w:szCs w:val="24"/>
        </w:rPr>
        <w:t>Оценка функционального состояния и степени зрелости новорожденного.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Периоды детского возраста.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19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Цель и сроки проведения дородового патронажа.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Наблюдение за новорожденным ребенком на педиатрическом участке.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 xml:space="preserve">Организация амбулаторно-поликлинической помощи детскому населению. 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Организация стационарной помощи детскому населению.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Понятие перинатальной смертности, ее структура.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Понятие неонатальной и младенческой смертности.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4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Особенности сбора анамнеза у детей и заполнение истории болезни.</w:t>
      </w:r>
    </w:p>
    <w:p w:rsidR="002A280D" w:rsidRDefault="002A280D" w:rsidP="002A280D">
      <w:pPr>
        <w:widowControl/>
        <w:numPr>
          <w:ilvl w:val="0"/>
          <w:numId w:val="1"/>
        </w:numPr>
        <w:shd w:val="clear" w:color="auto" w:fill="FFFFFF"/>
        <w:tabs>
          <w:tab w:val="left" w:pos="432"/>
        </w:tabs>
        <w:autoSpaceDE/>
        <w:adjustRightInd w:val="0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4"/>
          <w:szCs w:val="24"/>
        </w:rPr>
        <w:t>Методика осмотра детей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A280D" w:rsidRDefault="002A280D" w:rsidP="002A280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br w:type="page"/>
      </w:r>
    </w:p>
    <w:p w:rsidR="002A280D" w:rsidRDefault="002A280D" w:rsidP="002A280D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1" w:name="_Hlk102763249"/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практическое занятие №2</w:t>
      </w:r>
    </w:p>
    <w:bookmarkEnd w:id="1"/>
    <w:p w:rsidR="002A280D" w:rsidRDefault="002A280D" w:rsidP="002A280D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2A280D" w:rsidRDefault="002A280D" w:rsidP="002A28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Физическое развитие детей. </w:t>
      </w:r>
    </w:p>
    <w:p w:rsidR="002A280D" w:rsidRDefault="002A280D" w:rsidP="002A28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280D" w:rsidRDefault="002A280D" w:rsidP="002A280D">
      <w:pPr>
        <w:pStyle w:val="a7"/>
        <w:ind w:hanging="1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Вопросы для подготовки по теме.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понятий «физическое развитие», «физическое состояние»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Значение врачебной оценки физического развития детей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284" w:hanging="2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Факторы, оказывающие влияние на физическое развитие 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Законы роста детей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критерии физического развития, закономерности изменения и способы расчета основных антропометрических параметров (масса, рост, окружность головы, окружность груди) в возрастном аспекте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паспортного возраста, правила формирования возрастных групп детей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Параметрический и непараметрический методы оценки физического развития детей. Карты роста ВОЗ. Антропометрические калькуляторы. Номограммы физического развития.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параметров новорожденного ребенка при рождении с учетом </w:t>
      </w:r>
      <w:proofErr w:type="spellStart"/>
      <w:r>
        <w:rPr>
          <w:rFonts w:ascii="Times New Roman" w:hAnsi="Times New Roman"/>
          <w:sz w:val="24"/>
          <w:szCs w:val="24"/>
        </w:rPr>
        <w:t>гестационного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возраста с помощью карт роста ВОЗ INTERGROWTH-21s.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 </w:t>
      </w:r>
      <w:proofErr w:type="spellStart"/>
      <w:r>
        <w:rPr>
          <w:rFonts w:ascii="Times New Roman" w:hAnsi="Times New Roman"/>
          <w:sz w:val="24"/>
          <w:szCs w:val="24"/>
        </w:rPr>
        <w:t>пубертата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Парафизиологические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состояния в подростковом периоде.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Закономерности полового развития детей. Виды пола, фазы полового созревания, последовательность появления признаков полового созревания.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Темп полового созревания, тип полового созревания. 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критерии полового развития, понятие половой формулы.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Стадии полового созревания по </w:t>
      </w:r>
      <w:proofErr w:type="spellStart"/>
      <w:r>
        <w:rPr>
          <w:rFonts w:ascii="Times New Roman" w:hAnsi="Times New Roman"/>
          <w:sz w:val="24"/>
          <w:szCs w:val="24"/>
        </w:rPr>
        <w:t>Таннер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оценки полового развития детей.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отставания в половом развитии, задержки полового развития.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426" w:hanging="4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опережения полового созревания, преждевременного полового развития.</w:t>
      </w:r>
    </w:p>
    <w:p w:rsidR="002A280D" w:rsidRDefault="002A280D" w:rsidP="002A280D">
      <w:pPr>
        <w:pStyle w:val="a7"/>
        <w:numPr>
          <w:ilvl w:val="0"/>
          <w:numId w:val="4"/>
        </w:numPr>
        <w:spacing w:after="160" w:line="240" w:lineRule="auto"/>
        <w:ind w:left="426" w:hanging="4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Клинические рекомендации. Оценка физического развития детей и подростков [Электронный ресурс] / </w:t>
      </w:r>
      <w:proofErr w:type="spellStart"/>
      <w:r>
        <w:rPr>
          <w:rFonts w:ascii="Times New Roman" w:hAnsi="Times New Roman"/>
          <w:sz w:val="24"/>
          <w:szCs w:val="24"/>
        </w:rPr>
        <w:t>В.А.Петеркова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Е.В.Нагаева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Т.Ю.Ширяева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- М.: 2017. - 96 с. -  ISBN 978-5-906399-06-9 - Режим доступа: </w:t>
      </w:r>
      <w:hyperlink r:id="rId5" w:history="1">
        <w:r>
          <w:rPr>
            <w:rStyle w:val="a3"/>
            <w:sz w:val="24"/>
            <w:szCs w:val="24"/>
          </w:rPr>
          <w:t>http://alfa-endo.ru/attachments/download/metodicheskie_rekomendacii_ocenka_fizicheskogo_razvitiya_detei_i_podrostkov-103.pdf</w:t>
        </w:r>
      </w:hyperlink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br w:type="page"/>
      </w:r>
    </w:p>
    <w:p w:rsidR="002A280D" w:rsidRDefault="002A280D" w:rsidP="002A280D">
      <w:pPr>
        <w:ind w:left="2124" w:firstLine="708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2" w:name="_Hlk102764227"/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практическое занятие №3</w:t>
      </w:r>
    </w:p>
    <w:bookmarkEnd w:id="2"/>
    <w:p w:rsidR="002A280D" w:rsidRDefault="002A280D" w:rsidP="002A280D">
      <w:pPr>
        <w:pStyle w:val="a6"/>
        <w:rPr>
          <w:sz w:val="24"/>
          <w:szCs w:val="24"/>
        </w:rPr>
      </w:pPr>
    </w:p>
    <w:p w:rsidR="002A280D" w:rsidRDefault="002A280D" w:rsidP="002A28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Психомоторное развитие детей. </w:t>
      </w:r>
    </w:p>
    <w:p w:rsidR="002A280D" w:rsidRDefault="002A280D" w:rsidP="002A280D">
      <w:pPr>
        <w:pStyle w:val="a6"/>
        <w:rPr>
          <w:sz w:val="24"/>
          <w:szCs w:val="24"/>
        </w:rPr>
      </w:pPr>
    </w:p>
    <w:p w:rsidR="002A280D" w:rsidRDefault="002A280D" w:rsidP="002A280D">
      <w:pPr>
        <w:pStyle w:val="a7"/>
        <w:rPr>
          <w:rFonts w:ascii="Times New Roman" w:eastAsia="Calibri" w:hAnsi="Times New Roman"/>
          <w:sz w:val="24"/>
          <w:szCs w:val="24"/>
        </w:rPr>
      </w:pPr>
      <w:bookmarkStart w:id="3" w:name="_Hlk102764287"/>
    </w:p>
    <w:bookmarkEnd w:id="3"/>
    <w:p w:rsidR="002A280D" w:rsidRDefault="002A280D" w:rsidP="002A280D">
      <w:pPr>
        <w:pStyle w:val="a7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Вопросы для подготовки по теме.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 xml:space="preserve">Эмбриогенез центральной нервной системы (медуллярная трубка, головной, спинной мозг, созревание центральной нервной системы - дифференцировка и </w:t>
      </w:r>
      <w:proofErr w:type="spellStart"/>
      <w:r>
        <w:rPr>
          <w:rFonts w:ascii="Times New Roman" w:hAnsi="Times New Roman"/>
          <w:sz w:val="24"/>
          <w:szCs w:val="24"/>
          <w:lang w:eastAsia="hi-IN" w:bidi="hi-IN"/>
        </w:rPr>
        <w:t>миелинизация</w:t>
      </w:r>
      <w:proofErr w:type="spellEnd"/>
      <w:r>
        <w:rPr>
          <w:rFonts w:ascii="Times New Roman" w:hAnsi="Times New Roman"/>
          <w:sz w:val="24"/>
          <w:szCs w:val="24"/>
          <w:lang w:eastAsia="hi-IN" w:bidi="hi-IN"/>
        </w:rPr>
        <w:t xml:space="preserve"> волокон).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 xml:space="preserve">Влияние неблагоприятных факторов на развитие и функциональную способность головного мозга во внутриутробном и </w:t>
      </w:r>
      <w:proofErr w:type="spellStart"/>
      <w:r>
        <w:rPr>
          <w:rFonts w:ascii="Times New Roman" w:hAnsi="Times New Roman"/>
          <w:sz w:val="24"/>
          <w:szCs w:val="24"/>
          <w:lang w:eastAsia="hi-IN" w:bidi="hi-IN"/>
        </w:rPr>
        <w:t>внеутробном</w:t>
      </w:r>
      <w:proofErr w:type="spellEnd"/>
      <w:r>
        <w:rPr>
          <w:rFonts w:ascii="Times New Roman" w:hAnsi="Times New Roman"/>
          <w:sz w:val="24"/>
          <w:szCs w:val="24"/>
          <w:lang w:eastAsia="hi-IN" w:bidi="hi-IN"/>
        </w:rPr>
        <w:t xml:space="preserve"> периоде (гипоксия, родовая травма, </w:t>
      </w:r>
      <w:proofErr w:type="spellStart"/>
      <w:r>
        <w:rPr>
          <w:rFonts w:ascii="Times New Roman" w:hAnsi="Times New Roman"/>
          <w:sz w:val="24"/>
          <w:szCs w:val="24"/>
          <w:lang w:eastAsia="hi-IN" w:bidi="hi-IN"/>
        </w:rPr>
        <w:t>гипербилирубинемия</w:t>
      </w:r>
      <w:proofErr w:type="spellEnd"/>
      <w:r>
        <w:rPr>
          <w:rFonts w:ascii="Times New Roman" w:hAnsi="Times New Roman"/>
          <w:sz w:val="24"/>
          <w:szCs w:val="24"/>
          <w:lang w:eastAsia="hi-IN" w:bidi="hi-IN"/>
        </w:rPr>
        <w:t xml:space="preserve">, наследственные болезни обмена, хромосомные аберрации); значение проведения </w:t>
      </w:r>
      <w:proofErr w:type="spellStart"/>
      <w:r>
        <w:rPr>
          <w:rFonts w:ascii="Times New Roman" w:hAnsi="Times New Roman"/>
          <w:sz w:val="24"/>
          <w:szCs w:val="24"/>
          <w:lang w:eastAsia="hi-IN" w:bidi="hi-IN"/>
        </w:rPr>
        <w:t>пренатального</w:t>
      </w:r>
      <w:proofErr w:type="spellEnd"/>
      <w:r>
        <w:rPr>
          <w:rFonts w:ascii="Times New Roman" w:hAnsi="Times New Roman"/>
          <w:sz w:val="24"/>
          <w:szCs w:val="24"/>
          <w:lang w:eastAsia="hi-IN" w:bidi="hi-IN"/>
        </w:rPr>
        <w:t xml:space="preserve"> скрининга.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 xml:space="preserve">Анатомо-физиологические особенности головного мозга, особенности </w:t>
      </w:r>
      <w:proofErr w:type="spellStart"/>
      <w:r>
        <w:rPr>
          <w:rFonts w:ascii="Times New Roman" w:hAnsi="Times New Roman"/>
          <w:sz w:val="24"/>
          <w:szCs w:val="24"/>
          <w:lang w:eastAsia="hi-IN" w:bidi="hi-IN"/>
        </w:rPr>
        <w:t>миелинизации</w:t>
      </w:r>
      <w:proofErr w:type="spellEnd"/>
      <w:r>
        <w:rPr>
          <w:rFonts w:ascii="Times New Roman" w:hAnsi="Times New Roman"/>
          <w:sz w:val="24"/>
          <w:szCs w:val="24"/>
          <w:lang w:eastAsia="hi-IN" w:bidi="hi-IN"/>
        </w:rPr>
        <w:t xml:space="preserve"> нервных волокон, химического состава ткани мозга.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>Особенности кровоснабжения головного мозга.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>Развитие борозд и извилин, мозжечка и продолговатого мозга.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 xml:space="preserve">Анатомо-физиологические особенности спинного мозга: вес, длина, особенности </w:t>
      </w:r>
      <w:proofErr w:type="spellStart"/>
      <w:r>
        <w:rPr>
          <w:rFonts w:ascii="Times New Roman" w:hAnsi="Times New Roman"/>
          <w:sz w:val="24"/>
          <w:szCs w:val="24"/>
          <w:lang w:eastAsia="hi-IN" w:bidi="hi-IN"/>
        </w:rPr>
        <w:t>миелинизации</w:t>
      </w:r>
      <w:proofErr w:type="spellEnd"/>
      <w:r>
        <w:rPr>
          <w:rFonts w:ascii="Times New Roman" w:hAnsi="Times New Roman"/>
          <w:sz w:val="24"/>
          <w:szCs w:val="24"/>
          <w:lang w:eastAsia="hi-IN" w:bidi="hi-IN"/>
        </w:rPr>
        <w:t xml:space="preserve"> волокон, состава ликвора.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>Физиологические рефлексы новорожденного (методика выявления, сроки угасания).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>Этапы речевого развития детей.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>Закономерности развития статики и моторики у детей в возрастном аспекте.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426" w:hanging="437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>Критерии психомоторного развития детей различных возрастных групп.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426" w:hanging="437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>Методика оценки уровня нервно-психического развития детей раннего возраста (количественный метод).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>Периодичность оценки психомоторного развития детей первых трёх лет жизни.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>Методика оценки уровня психомоторного развития недоношенных детей.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426" w:hanging="437"/>
        <w:jc w:val="both"/>
        <w:rPr>
          <w:rFonts w:ascii="Times New Roman" w:hAnsi="Times New Roman"/>
          <w:spacing w:val="-5"/>
          <w:sz w:val="24"/>
          <w:szCs w:val="24"/>
          <w:lang w:eastAsia="hi-IN" w:bidi="hi-IN"/>
        </w:rPr>
      </w:pPr>
      <w:r>
        <w:rPr>
          <w:rFonts w:ascii="Times New Roman" w:hAnsi="Times New Roman"/>
          <w:spacing w:val="-5"/>
          <w:sz w:val="24"/>
          <w:szCs w:val="24"/>
          <w:lang w:eastAsia="hi-IN" w:bidi="hi-IN"/>
        </w:rPr>
        <w:t>Перинатальное поражение нервной системы: причины, общая симптоматика.</w:t>
      </w:r>
    </w:p>
    <w:p w:rsidR="002A280D" w:rsidRDefault="002A280D" w:rsidP="002A280D">
      <w:pPr>
        <w:pStyle w:val="a7"/>
        <w:numPr>
          <w:ilvl w:val="0"/>
          <w:numId w:val="6"/>
        </w:numPr>
        <w:spacing w:after="16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  <w:lang w:eastAsia="hi-IN" w:bidi="hi-IN"/>
        </w:rPr>
        <w:t>Характеристика основных клинических синдромов перинатального поражения нервной системы у новорожденных, принципы диагностики и лечения.</w:t>
      </w: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A280D" w:rsidRDefault="002A280D" w:rsidP="002A28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ПРАКТИЧЕСКОЕ ЗАНЯТИЕ №4</w:t>
      </w:r>
    </w:p>
    <w:p w:rsidR="002A280D" w:rsidRDefault="002A280D" w:rsidP="002A280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 xml:space="preserve">Грудное вскармливание здорового ребенка первого года жизни. </w:t>
      </w:r>
    </w:p>
    <w:p w:rsidR="002A280D" w:rsidRDefault="002A280D" w:rsidP="002A280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Лактация и факторы, ее определяющие. Состав молозива, переходного и зрелого молока. Преимущества грудного вскармливания. Техника проведения грудного вскармливания. Способы расчета суточного объема питания. Потребности в основных пищевых ингредиентах и калориях. Сроки</w:t>
      </w:r>
      <w:r>
        <w:rPr>
          <w:rFonts w:ascii="Times New Roman" w:hAnsi="Times New Roman" w:cs="Times New Roman"/>
          <w:bCs/>
          <w:sz w:val="24"/>
          <w:szCs w:val="24"/>
        </w:rPr>
        <w:t>, техника и правила введения прикормов. Ошибки при осуществлении грудного вскармливания. Контроль достаточности грудного молока. Принципы составления рационального меню.</w:t>
      </w:r>
    </w:p>
    <w:p w:rsidR="002A280D" w:rsidRDefault="002A280D" w:rsidP="002A280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jc w:val="both"/>
        <w:rPr>
          <w:rFonts w:ascii="Times New Roman" w:hAnsi="Times New Roman" w:cs="Times New Roman"/>
          <w:sz w:val="24"/>
          <w:szCs w:val="24"/>
        </w:rPr>
      </w:pPr>
    </w:p>
    <w:p w:rsidR="002A280D" w:rsidRDefault="002A280D" w:rsidP="002A280D">
      <w:pPr>
        <w:pStyle w:val="a4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Грудное вскармливание: общебиологические преимущества перед другими видами вскармливания.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и диета беременной женщины.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и диета кормящей женщины.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белкового, углеводного, жирового, витаминного, микроэлементного состава грудного молока в сравнении с составом молока животных.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Механизмы образования и отделения грудного молока.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Гипогалактия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Причины её возникновения, профилактика и лечение. Показания к введению докорма.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кормления ребенка грудью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первого прикладывания к груди, свободный режим кормления.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Противопоказания к грудному вскармливанию и раннему прикладыванию к груди.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кормления детей первого года жизни.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Сроки, правила отнятия ребенка от груди.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кормления детей первого года жизни, способы определения суточного объема питания.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и сроки введения прикорма.</w:t>
      </w:r>
    </w:p>
    <w:p w:rsidR="002A280D" w:rsidRDefault="002A280D" w:rsidP="002A280D">
      <w:pPr>
        <w:widowControl/>
        <w:numPr>
          <w:ilvl w:val="0"/>
          <w:numId w:val="7"/>
        </w:numPr>
        <w:tabs>
          <w:tab w:val="left" w:pos="426"/>
        </w:tabs>
        <w:autoSpaceDE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Потребности детей в основных пищевых ингредиентах (белок, жир, углевод) и калориях.</w:t>
      </w:r>
    </w:p>
    <w:p w:rsidR="002A280D" w:rsidRDefault="002A280D" w:rsidP="002A280D">
      <w:pPr>
        <w:widowControl/>
        <w:tabs>
          <w:tab w:val="left" w:pos="426"/>
        </w:tabs>
        <w:autoSpaceDE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2A280D" w:rsidRDefault="002A280D" w:rsidP="002A280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A280D" w:rsidRDefault="002A280D" w:rsidP="002A28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ПРАКТИЧЕСКОЕ ЗАНЯТИЕ № 5</w:t>
      </w:r>
    </w:p>
    <w:p w:rsidR="002A280D" w:rsidRDefault="002A280D" w:rsidP="002A280D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>Смешанное и искусственное вскармливание грудного ребенка.</w:t>
      </w:r>
    </w:p>
    <w:p w:rsidR="002A280D" w:rsidRDefault="002A280D" w:rsidP="002A280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Показания и принципы проведения смешанного и искусственного вскармливания.  Характеристика и классификация молочных смесей, применяющихся для докорма и искусственного вскармливания. Способы расчета суточного объема питания, режим кормлений. Потребности в основных ингредиентах. Сроки и методика введения прикормов.</w:t>
      </w:r>
    </w:p>
    <w:p w:rsidR="002A280D" w:rsidRDefault="002A280D" w:rsidP="002A280D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подготовки по теме.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Понятие смешанного и искусственного вскармливания.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Причины перевода детей на смешанное и искусственное вскармливание, противопоказания к грудному вскармливанию.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 коровьего молока и его отличие от такового женского молока.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Принципы адаптации молочных смесей, используемых для докорма и искусственного вскармливания детей первого года жизни.  Направления адаптации коровьего молока.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Классификация молочных смесей, используемых для смешанного и искусственного вскармливания.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Преимущества кисломолочных смесей.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Режим кормлений и расчеты суточного объема питания.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Потребности в ингредиентах (белках, жирах, углеводах) и калориях на разных видах вскармливания.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Правила выбора смеси для докорма при смешанном вскармливании и в качестве заменителя грудного молока при искусственном вскармливании.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Сроки и правила введения пищевых добавок и прикормов на различных видах вскармливания.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Требования, предъявляемые к соске и бутылочке.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Правила кормления ребенка из чашки.</w:t>
      </w:r>
    </w:p>
    <w:p w:rsidR="002A280D" w:rsidRDefault="002A280D" w:rsidP="002A280D">
      <w:pPr>
        <w:widowControl/>
        <w:numPr>
          <w:ilvl w:val="0"/>
          <w:numId w:val="8"/>
        </w:numPr>
        <w:tabs>
          <w:tab w:val="left" w:pos="284"/>
        </w:tabs>
        <w:autoSpaceDE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Критерии правильного проводимого смешанного или искусственного вскармливания.</w:t>
      </w:r>
    </w:p>
    <w:p w:rsidR="002A280D" w:rsidRDefault="002A280D" w:rsidP="002A280D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spacing w:line="48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spacing w:after="16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ПРАКТИЧЕСКОЕ ЗАНЯТИЕ № 6</w:t>
      </w:r>
    </w:p>
    <w:p w:rsidR="002A280D" w:rsidRDefault="002A280D" w:rsidP="002A28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 xml:space="preserve">Питание детей старше года. </w:t>
      </w:r>
      <w:r>
        <w:rPr>
          <w:rFonts w:ascii="Times New Roman" w:hAnsi="Times New Roman" w:cs="Times New Roman"/>
          <w:sz w:val="24"/>
          <w:szCs w:val="24"/>
        </w:rPr>
        <w:t xml:space="preserve">Требования, предъявляемые к пище (объем, консистенция, способы кулинарной обработки продуктов, вкусовые качества и внешний вид пищи и т.д.). Распределение суточного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калоража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пищи. Потребность детей в основных пищевых ингредиентах. Составление меню на один день для детей раннего возраста.</w:t>
      </w:r>
    </w:p>
    <w:p w:rsidR="002A280D" w:rsidRDefault="002A280D" w:rsidP="002A28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280D" w:rsidRDefault="002A280D" w:rsidP="002A280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280D" w:rsidRDefault="002A280D" w:rsidP="002A280D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подготовки по теме.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Анатомические особенности верхних отделов желудочно-кишечного тракта в возрастном аспекте.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особенности ферментативной активности желудка, тонкого кишечника.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особенности моторики желудочно-кишечного тракта.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особенности всасывания продуктов переваривания в желудочно-кишечном тракте.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расчета долженствующей массы тела у детей раннего возраста, дошкольников и детей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питания детей раннего возраста, дошкольников и детей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Суточный набор продуктов для детей раннего возраста, дошкольников и детей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кулинарной обработки пищи для детей раннего возраста, дошкольников и детей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Введение новых продуктов в рацион питания детей раннего возраста, у детей дошкольного и школьного возраста 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Мясо и рыба в питании детей раннего возраста, у детей дошкольного и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Хлеб, крупы в рационе питания детей раннего возраста, у детей дошкольного и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овощей и фруктов в питании детей раннего возраста, у детей дошкольного и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Потребности в нутриентах детей раннего возраста, у детей дошкольного и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Соотношение нутриентов в рационе детей раннего возраста, дошкольников и детей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блюд для детей 1 – 1,5 лет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блюд для детей 1,5 – 3 лет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блюд для детей дошкольного и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Примерное меню для детей 1 – 1,5 лет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примерное меню для детей 1,5 – 3 лет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примерное меню для детей дошкольного и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потребности в белках, жирах, углеводах в рационе питания детей раннего возраста, у дошкольников и детей школьного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продукты питания у детей раннего возраста, дошкольников и детей школьного возраста 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питания детей раннего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питания дошкольников и школьников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продуктов в течение суток у детей дошкольного возраста и школьников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суточный объем пищи в раннем возрасте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базисные и факультативные продукты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распределение продуктов в течение суток в питании детей раннего возраста</w:t>
      </w:r>
    </w:p>
    <w:p w:rsidR="002A280D" w:rsidRDefault="002A280D" w:rsidP="002A280D">
      <w:pPr>
        <w:widowControl/>
        <w:numPr>
          <w:ilvl w:val="0"/>
          <w:numId w:val="9"/>
        </w:numPr>
        <w:autoSpaceDE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составления рациона питания у дошкольников и детей школьного возраста</w:t>
      </w:r>
    </w:p>
    <w:p w:rsidR="002A280D" w:rsidRDefault="002A280D" w:rsidP="002A280D">
      <w:pPr>
        <w:widowControl/>
        <w:autoSpaceDE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A280D" w:rsidRDefault="002A280D" w:rsidP="002A280D">
      <w:pPr>
        <w:widowControl/>
        <w:autoSpaceDE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ПРАКТИЧЕСКОЕ ЗАНЯТИЕ № 7</w:t>
      </w: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shd w:val="clear" w:color="auto" w:fill="FFFFFF"/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Анемии у детей. Особенности кроветворения у детей. Нормативы показателей периферической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крови у детей различного возраста. Дефицитные анемии. Клиническая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картина. Лабораторная диагностика. Дифференциальный диагноз с другими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видами анемий. План лечения и профилактики рецидивов заболеваний</w:t>
      </w:r>
      <w:r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2A280D" w:rsidRDefault="002A280D" w:rsidP="002A280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pStyle w:val="a4"/>
        <w:widowControl/>
        <w:autoSpaceDE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A280D" w:rsidRDefault="002A280D" w:rsidP="002A280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подготовки по теме.</w:t>
      </w:r>
    </w:p>
    <w:p w:rsidR="002A280D" w:rsidRDefault="002A280D" w:rsidP="002A280D">
      <w:pPr>
        <w:numPr>
          <w:ilvl w:val="0"/>
          <w:numId w:val="11"/>
        </w:numPr>
        <w:shd w:val="clear" w:color="auto" w:fill="FFFFFF"/>
        <w:tabs>
          <w:tab w:val="left" w:pos="9923"/>
        </w:tabs>
        <w:adjustRightInd w:val="0"/>
        <w:ind w:right="-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состава периферической крови у детей разного возраста.</w:t>
      </w:r>
    </w:p>
    <w:p w:rsidR="002A280D" w:rsidRDefault="002A280D" w:rsidP="002A280D">
      <w:pPr>
        <w:pStyle w:val="Standard"/>
        <w:widowControl w:val="0"/>
        <w:numPr>
          <w:ilvl w:val="0"/>
          <w:numId w:val="11"/>
        </w:numPr>
        <w:shd w:val="clear" w:color="auto" w:fill="FFFFFF"/>
        <w:tabs>
          <w:tab w:val="left" w:pos="568"/>
          <w:tab w:val="left" w:pos="10207"/>
        </w:tabs>
        <w:ind w:right="-222"/>
        <w:rPr>
          <w:rFonts w:cs="Times New Roman"/>
        </w:rPr>
      </w:pPr>
      <w:r>
        <w:rPr>
          <w:rFonts w:cs="Times New Roman"/>
          <w:color w:val="000000"/>
          <w:lang w:eastAsia="ru-RU"/>
        </w:rPr>
        <w:t>Понятие дефицитных анемий, их основные характеристики.</w:t>
      </w:r>
    </w:p>
    <w:p w:rsidR="002A280D" w:rsidRDefault="002A280D" w:rsidP="002A280D">
      <w:pPr>
        <w:numPr>
          <w:ilvl w:val="0"/>
          <w:numId w:val="11"/>
        </w:numPr>
        <w:shd w:val="clear" w:color="auto" w:fill="FFFFFF"/>
        <w:tabs>
          <w:tab w:val="left" w:pos="9923"/>
        </w:tabs>
        <w:adjustRightInd w:val="0"/>
        <w:ind w:right="-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Этиология и патогенез железодефицитных анемий. Группы риска.</w:t>
      </w:r>
    </w:p>
    <w:p w:rsidR="002A280D" w:rsidRDefault="002A280D" w:rsidP="002A280D">
      <w:pPr>
        <w:pStyle w:val="Standard"/>
        <w:widowControl w:val="0"/>
        <w:numPr>
          <w:ilvl w:val="0"/>
          <w:numId w:val="11"/>
        </w:numPr>
        <w:shd w:val="clear" w:color="auto" w:fill="FFFFFF"/>
        <w:tabs>
          <w:tab w:val="left" w:pos="568"/>
          <w:tab w:val="left" w:pos="10207"/>
        </w:tabs>
        <w:ind w:right="-222"/>
        <w:rPr>
          <w:rFonts w:cs="Times New Roman"/>
        </w:rPr>
      </w:pPr>
      <w:r>
        <w:rPr>
          <w:rFonts w:cs="Times New Roman"/>
          <w:color w:val="000000"/>
          <w:lang w:eastAsia="ru-RU"/>
        </w:rPr>
        <w:t xml:space="preserve">Понятие железодефицитного состояния, латентного дефицита железа, проявления </w:t>
      </w:r>
      <w:proofErr w:type="spellStart"/>
      <w:r>
        <w:rPr>
          <w:rFonts w:cs="Times New Roman"/>
          <w:color w:val="000000"/>
          <w:lang w:eastAsia="ru-RU"/>
        </w:rPr>
        <w:t>сидеропенического</w:t>
      </w:r>
      <w:proofErr w:type="spellEnd"/>
      <w:r>
        <w:rPr>
          <w:rFonts w:cs="Times New Roman"/>
          <w:color w:val="000000"/>
          <w:lang w:eastAsia="ru-RU"/>
        </w:rPr>
        <w:t xml:space="preserve"> синдрома.</w:t>
      </w:r>
    </w:p>
    <w:p w:rsidR="002A280D" w:rsidRDefault="002A280D" w:rsidP="002A280D">
      <w:pPr>
        <w:pStyle w:val="Standard"/>
        <w:widowControl w:val="0"/>
        <w:numPr>
          <w:ilvl w:val="0"/>
          <w:numId w:val="11"/>
        </w:numPr>
        <w:shd w:val="clear" w:color="auto" w:fill="FFFFFF"/>
        <w:tabs>
          <w:tab w:val="left" w:pos="568"/>
          <w:tab w:val="left" w:pos="10207"/>
        </w:tabs>
        <w:ind w:right="-222"/>
        <w:rPr>
          <w:rFonts w:cs="Times New Roman"/>
        </w:rPr>
      </w:pPr>
      <w:r>
        <w:rPr>
          <w:rFonts w:cs="Times New Roman"/>
          <w:color w:val="000000"/>
          <w:spacing w:val="-2"/>
          <w:lang w:eastAsia="ru-RU"/>
        </w:rPr>
        <w:t xml:space="preserve">Клинические проявления железодефицитных анемий. </w:t>
      </w:r>
      <w:proofErr w:type="spellStart"/>
      <w:r>
        <w:rPr>
          <w:rFonts w:cs="Times New Roman"/>
          <w:color w:val="000000"/>
          <w:spacing w:val="-2"/>
          <w:lang w:eastAsia="ru-RU"/>
        </w:rPr>
        <w:t>Общеанемический</w:t>
      </w:r>
      <w:proofErr w:type="spellEnd"/>
      <w:r>
        <w:rPr>
          <w:rFonts w:cs="Times New Roman"/>
          <w:color w:val="000000"/>
          <w:spacing w:val="-2"/>
          <w:lang w:eastAsia="ru-RU"/>
        </w:rPr>
        <w:t xml:space="preserve"> синдром.</w:t>
      </w:r>
    </w:p>
    <w:p w:rsidR="002A280D" w:rsidRDefault="002A280D" w:rsidP="002A280D">
      <w:pPr>
        <w:numPr>
          <w:ilvl w:val="0"/>
          <w:numId w:val="11"/>
        </w:numPr>
        <w:shd w:val="clear" w:color="auto" w:fill="FFFFFF"/>
        <w:tabs>
          <w:tab w:val="left" w:pos="284"/>
          <w:tab w:val="left" w:pos="1620"/>
        </w:tabs>
        <w:adjustRightInd w:val="0"/>
        <w:ind w:right="-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Лабораторные критерии постановки диагноза железодефицитная анемия. Степени тяжести</w:t>
      </w:r>
    </w:p>
    <w:p w:rsidR="002A280D" w:rsidRDefault="002A280D" w:rsidP="002A280D">
      <w:pPr>
        <w:widowControl/>
        <w:numPr>
          <w:ilvl w:val="0"/>
          <w:numId w:val="11"/>
        </w:numPr>
        <w:shd w:val="clear" w:color="auto" w:fill="FFFFFF"/>
        <w:tabs>
          <w:tab w:val="left" w:pos="9923"/>
        </w:tabs>
        <w:autoSpaceDE/>
        <w:ind w:right="-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и механизм действия препаратов железа.</w:t>
      </w:r>
    </w:p>
    <w:p w:rsidR="002A280D" w:rsidRDefault="002A280D" w:rsidP="002A280D">
      <w:pPr>
        <w:widowControl/>
        <w:numPr>
          <w:ilvl w:val="0"/>
          <w:numId w:val="11"/>
        </w:numPr>
        <w:shd w:val="clear" w:color="auto" w:fill="FFFFFF"/>
        <w:tabs>
          <w:tab w:val="left" w:pos="284"/>
        </w:tabs>
        <w:autoSpaceDE/>
        <w:ind w:right="-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терапии железодефицитных анемий, расчет дозы препаратов железа.</w:t>
      </w:r>
    </w:p>
    <w:p w:rsidR="002A280D" w:rsidRDefault="002A280D" w:rsidP="002A280D">
      <w:pPr>
        <w:widowControl/>
        <w:numPr>
          <w:ilvl w:val="0"/>
          <w:numId w:val="11"/>
        </w:numPr>
        <w:shd w:val="clear" w:color="auto" w:fill="FFFFFF"/>
        <w:tabs>
          <w:tab w:val="left" w:pos="0"/>
        </w:tabs>
        <w:autoSpaceDE/>
        <w:ind w:right="-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Диспансеризация детей с железодефицитной анемией.</w:t>
      </w:r>
    </w:p>
    <w:p w:rsidR="002A280D" w:rsidRDefault="002A280D" w:rsidP="002A280D">
      <w:pPr>
        <w:widowControl/>
        <w:numPr>
          <w:ilvl w:val="0"/>
          <w:numId w:val="11"/>
        </w:numPr>
        <w:shd w:val="clear" w:color="auto" w:fill="FFFFFF"/>
        <w:tabs>
          <w:tab w:val="left" w:pos="9923"/>
        </w:tabs>
        <w:autoSpaceDE/>
        <w:ind w:right="-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профилактики железодефицитных анемий.</w:t>
      </w:r>
    </w:p>
    <w:p w:rsidR="002A280D" w:rsidRDefault="002A280D" w:rsidP="002A280D">
      <w:pPr>
        <w:widowControl/>
        <w:numPr>
          <w:ilvl w:val="0"/>
          <w:numId w:val="11"/>
        </w:numPr>
        <w:shd w:val="clear" w:color="auto" w:fill="FFFFFF"/>
        <w:tabs>
          <w:tab w:val="left" w:pos="9923"/>
        </w:tabs>
        <w:autoSpaceDE/>
        <w:ind w:right="-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Клинические рекомендации «Железодефицитная анемия», 2021 год (Режим доступа: </w:t>
      </w:r>
      <w:hyperlink r:id="rId6" w:history="1">
        <w:r>
          <w:rPr>
            <w:rStyle w:val="a3"/>
            <w:sz w:val="24"/>
            <w:szCs w:val="24"/>
          </w:rPr>
          <w:t>https://cr.minzdrav.gov.ru/recomend/669_1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2A280D" w:rsidRDefault="002A280D" w:rsidP="002A280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left="2124" w:hanging="2124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практическое занятие №8</w:t>
      </w:r>
    </w:p>
    <w:p w:rsidR="002A280D" w:rsidRDefault="002A280D" w:rsidP="002A280D">
      <w:pPr>
        <w:pStyle w:val="a6"/>
        <w:rPr>
          <w:sz w:val="24"/>
          <w:szCs w:val="24"/>
        </w:rPr>
      </w:pPr>
    </w:p>
    <w:p w:rsidR="002A280D" w:rsidRDefault="002A280D" w:rsidP="002A28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bookmarkStart w:id="4" w:name="_Hlk96297888"/>
      <w:r>
        <w:rPr>
          <w:rFonts w:ascii="Times New Roman" w:hAnsi="Times New Roman" w:cs="Times New Roman"/>
          <w:sz w:val="24"/>
          <w:szCs w:val="24"/>
        </w:rPr>
        <w:t xml:space="preserve">Гиповитаминоз Д у детей. </w:t>
      </w:r>
    </w:p>
    <w:p w:rsidR="002A280D" w:rsidRDefault="002A280D" w:rsidP="002A280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4"/>
    <w:p w:rsidR="002A280D" w:rsidRDefault="002A280D" w:rsidP="002A280D">
      <w:pPr>
        <w:ind w:firstLine="708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для подготовки по теме.</w:t>
      </w:r>
    </w:p>
    <w:p w:rsidR="002A280D" w:rsidRDefault="002A280D" w:rsidP="002A280D">
      <w:pPr>
        <w:pStyle w:val="2"/>
        <w:numPr>
          <w:ilvl w:val="0"/>
          <w:numId w:val="14"/>
        </w:numPr>
        <w:suppressAutoHyphens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взгляды на физиологическую роль витамина Д в организме, особенности его метаболизма.</w:t>
      </w:r>
    </w:p>
    <w:p w:rsidR="002A280D" w:rsidRDefault="002A280D" w:rsidP="002A280D">
      <w:pPr>
        <w:pStyle w:val="2"/>
        <w:numPr>
          <w:ilvl w:val="0"/>
          <w:numId w:val="14"/>
        </w:numPr>
        <w:suppressAutoHyphens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Интерпретация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холекальциферола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(25(ОН)Д) сыворотки крови для оценки обеспеченности организма витамином D.</w:t>
      </w:r>
    </w:p>
    <w:p w:rsidR="002A280D" w:rsidRDefault="002A280D" w:rsidP="002A280D">
      <w:pPr>
        <w:pStyle w:val="2"/>
        <w:numPr>
          <w:ilvl w:val="0"/>
          <w:numId w:val="14"/>
        </w:numPr>
        <w:suppressAutoHyphens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Рахит у детей: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этиопатогенез</w:t>
      </w:r>
      <w:proofErr w:type="spellEnd"/>
      <w:r>
        <w:rPr>
          <w:rFonts w:ascii="Times New Roman" w:hAnsi="Times New Roman" w:cs="Times New Roman"/>
          <w:sz w:val="24"/>
          <w:szCs w:val="24"/>
        </w:rPr>
        <w:t>, классификация, клиника, течение в современных условиях.</w:t>
      </w:r>
    </w:p>
    <w:p w:rsidR="002A280D" w:rsidRDefault="002A280D" w:rsidP="002A280D">
      <w:pPr>
        <w:pStyle w:val="2"/>
        <w:numPr>
          <w:ilvl w:val="0"/>
          <w:numId w:val="14"/>
        </w:numPr>
        <w:suppressAutoHyphens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Лабораторно – инструментальная диагностика, дифференциальный диагноз рахита.</w:t>
      </w:r>
    </w:p>
    <w:p w:rsidR="002A280D" w:rsidRDefault="002A280D" w:rsidP="002A280D">
      <w:pPr>
        <w:pStyle w:val="2"/>
        <w:numPr>
          <w:ilvl w:val="0"/>
          <w:numId w:val="14"/>
        </w:numPr>
        <w:suppressAutoHyphens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Антенатальная профилактика рахита (неспецифическая и специфическая).</w:t>
      </w:r>
    </w:p>
    <w:p w:rsidR="002A280D" w:rsidRDefault="002A280D" w:rsidP="002A280D">
      <w:pPr>
        <w:pStyle w:val="2"/>
        <w:numPr>
          <w:ilvl w:val="0"/>
          <w:numId w:val="14"/>
        </w:numPr>
        <w:suppressAutoHyphens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методы неспецифической и специфической профилактики и лечения рахита у детей.</w:t>
      </w:r>
    </w:p>
    <w:p w:rsidR="002A280D" w:rsidRDefault="002A280D" w:rsidP="002A280D">
      <w:pPr>
        <w:pStyle w:val="2"/>
        <w:numPr>
          <w:ilvl w:val="0"/>
          <w:numId w:val="14"/>
        </w:numPr>
        <w:suppressAutoHyphens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препаратов витамина Д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280D" w:rsidRDefault="002A280D" w:rsidP="002A280D">
      <w:pPr>
        <w:pStyle w:val="2"/>
        <w:numPr>
          <w:ilvl w:val="0"/>
          <w:numId w:val="14"/>
        </w:numPr>
        <w:suppressAutoHyphens/>
        <w:autoSpaceDE/>
        <w:ind w:left="284" w:hanging="2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Рахит - как фоновое заболевание детей раннего возраста. Влияние рахита на течение основных заболеваний у детей.</w:t>
      </w:r>
    </w:p>
    <w:p w:rsidR="002A280D" w:rsidRDefault="002A280D" w:rsidP="002A280D">
      <w:pPr>
        <w:pStyle w:val="2"/>
        <w:numPr>
          <w:ilvl w:val="0"/>
          <w:numId w:val="14"/>
        </w:numPr>
        <w:suppressAutoHyphens/>
        <w:autoSpaceDE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Рахит - как фоновое заболевание детей раннего возраста. Влияние рахита на течение основных заболеваний у детей.</w:t>
      </w:r>
      <w:bookmarkStart w:id="5" w:name="_Hlk95598554"/>
      <w:bookmarkEnd w:id="5"/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2A280D" w:rsidRDefault="002A280D" w:rsidP="002A280D">
      <w:pPr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ПРАКТИЧЕСКОЕ ЗАНЯТИЕ № 9</w:t>
      </w:r>
    </w:p>
    <w:p w:rsidR="002A280D" w:rsidRDefault="002A280D" w:rsidP="002A280D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Атопический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дерматит и острые аллергические реакции. Анатомо-физиологические особенности лимфатической системы. Особенности обмена веществ, иммунологической защиты у детей.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Атопический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дерматит у детей.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Этиопатогенез</w:t>
      </w:r>
      <w:proofErr w:type="spellEnd"/>
      <w:r>
        <w:rPr>
          <w:rFonts w:ascii="Times New Roman" w:hAnsi="Times New Roman" w:cs="Times New Roman"/>
          <w:sz w:val="24"/>
          <w:szCs w:val="24"/>
        </w:rPr>
        <w:t>, классификация, критерии диагностики, лечение. Острые аллергические реакции: понятие, основные механизмы развития. Крапивница, ангионевротический отек, анафилактический шок: клиника, оказание неотложной помощи.</w:t>
      </w:r>
    </w:p>
    <w:p w:rsidR="002A280D" w:rsidRDefault="002A280D" w:rsidP="002A280D">
      <w:pPr>
        <w:widowControl/>
        <w:autoSpaceDE/>
        <w:ind w:right="-2"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widowControl/>
        <w:autoSpaceDE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0D" w:rsidRDefault="002A280D" w:rsidP="002A280D">
      <w:pPr>
        <w:widowControl/>
        <w:autoSpaceDE/>
        <w:ind w:right="-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autoSpaceDE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Анатомо-физиологические особенности кожи, лимфатической системы ребенка.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autoSpaceDE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Становление иммунной системы у детей.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К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/>
        </w:rPr>
        <w:t>лассификация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/>
        </w:rPr>
        <w:t>аллергенов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Типы аллергических реакций по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Джеллу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Кумбсу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Клинические рекомендации 2021 год № 265 «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Атопический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 дерматит» L20;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/>
        </w:rPr>
        <w:t>L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20.8;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/>
        </w:rPr>
        <w:t>L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20.9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Определение, этиология и патогенез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атопического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 дерматита.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Распространенность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атопического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 дерматита.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en-US"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Классификация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атопического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 дерматита.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Клиническая картина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атопического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 дерматита у детей.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Диагностика и дифференциальная диагностика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атопического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 дерматита.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Классификация и механизм действия антигистаминных препаратов.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Лечение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атопического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 дерматита: местная и системная терапия. Уход за кожей при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атопическом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 дерматите.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Профилактические мероприятия при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атопическом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 дерматите.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 xml:space="preserve">Острые аллергические реакции: понятие, основные механизмы развития. </w:t>
      </w:r>
    </w:p>
    <w:p w:rsidR="002A280D" w:rsidRDefault="002A280D" w:rsidP="002A280D">
      <w:pPr>
        <w:widowControl/>
        <w:numPr>
          <w:ilvl w:val="0"/>
          <w:numId w:val="17"/>
        </w:numPr>
        <w:tabs>
          <w:tab w:val="left" w:pos="426"/>
        </w:tabs>
        <w:suppressAutoHyphens/>
        <w:autoSpaceDE/>
        <w:ind w:left="0" w:firstLine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en-US"/>
        </w:rPr>
        <w:t>Крапивница, ангионевротический отек, анафилактический шок: клиника, оказание неотложной помощи. Профилактические мероприятия при острых аллергических реакциях.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2A280D" w:rsidRDefault="002A280D" w:rsidP="002A280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ПРАКТИЧЕСКОЕ ЗАНЯТИЕ №10</w:t>
      </w:r>
    </w:p>
    <w:p w:rsidR="002A280D" w:rsidRDefault="002A280D" w:rsidP="002A280D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280D" w:rsidRDefault="002A280D" w:rsidP="002A280D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</w:pPr>
      <w:r>
        <w:rPr>
          <w:rStyle w:val="fontstyle01"/>
          <w:rFonts w:ascii="Times New Roman" w:hAnsi="Times New Roman" w:cs="Times New Roman"/>
        </w:rPr>
        <w:t>Тема:</w:t>
      </w:r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Белково</w:t>
      </w:r>
      <w:proofErr w:type="spellEnd"/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-энергетическая недостаточность. Анатомо-физиологические особенности и методика исследования кожи, подкожно-жировой клетчатки. Хронические расстройства питания: гипотрофия, </w:t>
      </w:r>
      <w:proofErr w:type="spellStart"/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гипостатура</w:t>
      </w:r>
      <w:proofErr w:type="spellEnd"/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паратрофия</w:t>
      </w:r>
      <w:proofErr w:type="spellEnd"/>
      <w:r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Вопросы диагностики, лечения и профилактики на примере курируемых больных. </w:t>
      </w:r>
    </w:p>
    <w:p w:rsidR="002A280D" w:rsidRDefault="002A280D" w:rsidP="002A280D">
      <w:pPr>
        <w:shd w:val="clear" w:color="auto" w:fill="FFFFFF"/>
        <w:ind w:left="34" w:firstLine="674"/>
        <w:jc w:val="both"/>
        <w:rPr>
          <w:rStyle w:val="fontstyle01"/>
          <w:rFonts w:ascii="Times New Roman" w:hAnsi="Times New Roman"/>
        </w:rPr>
      </w:pPr>
    </w:p>
    <w:p w:rsidR="002A280D" w:rsidRDefault="002A280D" w:rsidP="002A280D">
      <w:pPr>
        <w:shd w:val="clear" w:color="auto" w:fill="FFFFFF"/>
        <w:tabs>
          <w:tab w:val="left" w:pos="0"/>
        </w:tabs>
        <w:adjustRightInd w:val="0"/>
        <w:spacing w:before="5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 w:cs="Times New Roman"/>
        </w:rPr>
        <w:tab/>
      </w:r>
    </w:p>
    <w:p w:rsidR="002A280D" w:rsidRDefault="002A280D" w:rsidP="002A280D">
      <w:pPr>
        <w:shd w:val="clear" w:color="auto" w:fill="FFFFFF"/>
        <w:tabs>
          <w:tab w:val="left" w:pos="0"/>
        </w:tabs>
        <w:adjustRightInd w:val="0"/>
        <w:spacing w:before="5"/>
        <w:ind w:firstLine="709"/>
        <w:jc w:val="both"/>
        <w:rPr>
          <w:spacing w:val="-4"/>
        </w:rPr>
      </w:pPr>
      <w:r>
        <w:rPr>
          <w:rStyle w:val="fontstyle01"/>
          <w:rFonts w:ascii="Times New Roman" w:hAnsi="Times New Roman" w:cs="Times New Roman"/>
        </w:rPr>
        <w:t>Вопросы для подготовки по теме.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2A280D" w:rsidRDefault="002A280D" w:rsidP="002A280D">
      <w:pPr>
        <w:numPr>
          <w:ilvl w:val="0"/>
          <w:numId w:val="18"/>
        </w:numPr>
        <w:shd w:val="clear" w:color="auto" w:fill="FFFFFF"/>
        <w:tabs>
          <w:tab w:val="left" w:pos="456"/>
        </w:tabs>
        <w:adjustRightInd w:val="0"/>
        <w:ind w:left="284" w:hanging="284"/>
        <w:jc w:val="both"/>
        <w:rPr>
          <w:rFonts w:ascii="Times New Roman" w:hAnsi="Times New Roman" w:cs="Times New Roman"/>
          <w:color w:val="000000"/>
          <w:spacing w:val="-3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Анатомия и физиология кожи, подкожно-жировой клетчатки у детей.</w:t>
      </w:r>
    </w:p>
    <w:p w:rsidR="002A280D" w:rsidRDefault="002A280D" w:rsidP="002A280D">
      <w:pPr>
        <w:numPr>
          <w:ilvl w:val="0"/>
          <w:numId w:val="18"/>
        </w:numPr>
        <w:shd w:val="clear" w:color="auto" w:fill="FFFFFF"/>
        <w:tabs>
          <w:tab w:val="left" w:pos="456"/>
        </w:tabs>
        <w:adjustRightInd w:val="0"/>
        <w:ind w:left="284" w:hanging="284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Обмен белков, жиров, углеводов и других веществ в организме здорового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ребенка.</w:t>
      </w:r>
    </w:p>
    <w:p w:rsidR="002A280D" w:rsidRDefault="002A280D" w:rsidP="002A280D">
      <w:pPr>
        <w:numPr>
          <w:ilvl w:val="0"/>
          <w:numId w:val="18"/>
        </w:numPr>
        <w:shd w:val="clear" w:color="auto" w:fill="FFFFFF"/>
        <w:adjustRightInd w:val="0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антропометрических показателей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нутритивного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статуса пациента, его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нервно-психическое развитие и состояние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основных органов и систем.</w:t>
      </w:r>
    </w:p>
    <w:p w:rsidR="002A280D" w:rsidRDefault="002A280D" w:rsidP="002A280D">
      <w:pPr>
        <w:numPr>
          <w:ilvl w:val="0"/>
          <w:numId w:val="18"/>
        </w:numPr>
        <w:shd w:val="clear" w:color="auto" w:fill="FFFFFF"/>
        <w:tabs>
          <w:tab w:val="left" w:pos="346"/>
        </w:tabs>
        <w:adjustRightInd w:val="0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Назначение необходимых дополнительных лабораторно – инструментальных исследований.</w:t>
      </w:r>
    </w:p>
    <w:p w:rsidR="002A280D" w:rsidRDefault="002A280D" w:rsidP="002A280D">
      <w:pPr>
        <w:numPr>
          <w:ilvl w:val="0"/>
          <w:numId w:val="18"/>
        </w:numPr>
        <w:shd w:val="clear" w:color="auto" w:fill="FFFFFF"/>
        <w:tabs>
          <w:tab w:val="left" w:pos="792"/>
        </w:tabs>
        <w:adjustRightInd w:val="0"/>
        <w:ind w:left="284" w:hanging="284"/>
        <w:jc w:val="both"/>
        <w:rPr>
          <w:rFonts w:ascii="Times New Roman" w:hAnsi="Times New Roman" w:cs="Times New Roman"/>
          <w:color w:val="000000"/>
          <w:spacing w:val="-3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Этиология, патогенез хронических расстройств питания.</w:t>
      </w:r>
    </w:p>
    <w:p w:rsidR="002A280D" w:rsidRDefault="002A280D" w:rsidP="002A280D">
      <w:pPr>
        <w:numPr>
          <w:ilvl w:val="0"/>
          <w:numId w:val="18"/>
        </w:numPr>
        <w:shd w:val="clear" w:color="auto" w:fill="FFFFFF"/>
        <w:tabs>
          <w:tab w:val="left" w:pos="792"/>
        </w:tabs>
        <w:adjustRightInd w:val="0"/>
        <w:ind w:left="284" w:hanging="284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Классификация хронических расстройств питания у детей раннего возраста:</w:t>
      </w:r>
    </w:p>
    <w:p w:rsidR="002A280D" w:rsidRDefault="002A280D" w:rsidP="002A280D">
      <w:pPr>
        <w:shd w:val="clear" w:color="auto" w:fill="FFFFFF"/>
        <w:tabs>
          <w:tab w:val="left" w:pos="802"/>
        </w:tabs>
        <w:adjustRightInd w:val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по типам дистрофии;</w:t>
      </w:r>
    </w:p>
    <w:p w:rsidR="002A280D" w:rsidRDefault="002A280D" w:rsidP="002A280D">
      <w:pPr>
        <w:shd w:val="clear" w:color="auto" w:fill="FFFFFF"/>
        <w:tabs>
          <w:tab w:val="left" w:pos="802"/>
        </w:tabs>
        <w:adjustRightInd w:val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по степени тяжести;</w:t>
      </w:r>
    </w:p>
    <w:p w:rsidR="002A280D" w:rsidRDefault="002A280D" w:rsidP="002A280D">
      <w:pPr>
        <w:shd w:val="clear" w:color="auto" w:fill="FFFFFF"/>
        <w:tabs>
          <w:tab w:val="left" w:pos="802"/>
        </w:tabs>
        <w:adjustRightInd w:val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по периодам болезни;</w:t>
      </w:r>
    </w:p>
    <w:p w:rsidR="002A280D" w:rsidRDefault="002A280D" w:rsidP="002A280D">
      <w:pPr>
        <w:shd w:val="clear" w:color="auto" w:fill="FFFFFF"/>
        <w:tabs>
          <w:tab w:val="left" w:pos="802"/>
        </w:tabs>
        <w:adjustRightInd w:val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по времени возникновения;</w:t>
      </w:r>
    </w:p>
    <w:p w:rsidR="002A280D" w:rsidRDefault="002A280D" w:rsidP="002A280D">
      <w:pPr>
        <w:shd w:val="clear" w:color="auto" w:fill="FFFFFF"/>
        <w:tabs>
          <w:tab w:val="left" w:pos="802"/>
        </w:tabs>
        <w:adjustRightInd w:val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по этиологии;</w:t>
      </w:r>
    </w:p>
    <w:p w:rsidR="002A280D" w:rsidRDefault="002A280D" w:rsidP="002A280D">
      <w:pPr>
        <w:numPr>
          <w:ilvl w:val="0"/>
          <w:numId w:val="18"/>
        </w:numPr>
        <w:shd w:val="clear" w:color="auto" w:fill="FFFFFF"/>
        <w:tabs>
          <w:tab w:val="left" w:pos="792"/>
        </w:tabs>
        <w:adjustRightInd w:val="0"/>
        <w:ind w:left="284" w:hanging="284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Клиника хронических расстройств питания в зависимости от степени тяжести.</w:t>
      </w:r>
    </w:p>
    <w:p w:rsidR="002A280D" w:rsidRDefault="002A280D" w:rsidP="002A280D">
      <w:pPr>
        <w:numPr>
          <w:ilvl w:val="0"/>
          <w:numId w:val="18"/>
        </w:numPr>
        <w:shd w:val="clear" w:color="auto" w:fill="FFFFFF"/>
        <w:tabs>
          <w:tab w:val="left" w:pos="792"/>
        </w:tabs>
        <w:adjustRightInd w:val="0"/>
        <w:ind w:left="284" w:hanging="284"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Диагностика хронических расстройств питания.</w:t>
      </w:r>
    </w:p>
    <w:p w:rsidR="002A280D" w:rsidRDefault="002A280D" w:rsidP="002A280D">
      <w:pPr>
        <w:numPr>
          <w:ilvl w:val="0"/>
          <w:numId w:val="18"/>
        </w:numPr>
        <w:shd w:val="clear" w:color="auto" w:fill="FFFFFF"/>
        <w:tabs>
          <w:tab w:val="left" w:pos="302"/>
        </w:tabs>
        <w:adjustRightInd w:val="0"/>
        <w:spacing w:before="5"/>
        <w:ind w:left="284" w:hanging="284"/>
        <w:contextualSpacing/>
        <w:jc w:val="both"/>
        <w:rPr>
          <w:rFonts w:ascii="Times New Roman" w:hAnsi="Times New Roman" w:cs="Times New Roman"/>
          <w:color w:val="000000"/>
          <w:spacing w:val="-2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Алиментарно-ассоциированные состояния у детей (</w:t>
      </w:r>
      <w:proofErr w:type="spellStart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квашиоркор</w:t>
      </w:r>
      <w:proofErr w:type="spellEnd"/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, алиментарный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маразм, цинк-, медь-, селен-дефицитные состояния).</w:t>
      </w:r>
    </w:p>
    <w:p w:rsidR="002A280D" w:rsidRDefault="002A280D" w:rsidP="002A280D">
      <w:pPr>
        <w:numPr>
          <w:ilvl w:val="0"/>
          <w:numId w:val="18"/>
        </w:numPr>
        <w:shd w:val="clear" w:color="auto" w:fill="FFFFFF"/>
        <w:tabs>
          <w:tab w:val="left" w:pos="792"/>
        </w:tabs>
        <w:adjustRightInd w:val="0"/>
        <w:ind w:left="284" w:hanging="284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Принципы лечения больных с дистрофией.</w:t>
      </w:r>
    </w:p>
    <w:p w:rsidR="002A280D" w:rsidRDefault="002A280D" w:rsidP="002A280D">
      <w:pPr>
        <w:widowControl/>
        <w:numPr>
          <w:ilvl w:val="0"/>
          <w:numId w:val="18"/>
        </w:numPr>
        <w:autoSpaceDE/>
        <w:ind w:left="284" w:hanging="284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Диетотерапия при лечении недостаточности питания в зависимости от степени тяжести. </w:t>
      </w:r>
    </w:p>
    <w:p w:rsidR="002A280D" w:rsidRDefault="002A280D" w:rsidP="002A280D">
      <w:pPr>
        <w:widowControl/>
        <w:numPr>
          <w:ilvl w:val="0"/>
          <w:numId w:val="18"/>
        </w:numPr>
        <w:autoSpaceDE/>
        <w:ind w:left="284" w:hanging="284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Периоды диетотерапии (адаптационный, репарационный, период усиленного питания).</w:t>
      </w:r>
    </w:p>
    <w:p w:rsidR="002A280D" w:rsidRDefault="002A280D" w:rsidP="002A280D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280D" w:rsidRDefault="002A280D" w:rsidP="002A280D">
      <w:pPr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практическое занятие №11</w:t>
      </w:r>
    </w:p>
    <w:p w:rsidR="002A280D" w:rsidRDefault="002A280D" w:rsidP="002A280D">
      <w:pPr>
        <w:shd w:val="clear" w:color="auto" w:fill="FFFFFF"/>
        <w:spacing w:before="322"/>
        <w:ind w:left="14" w:firstLine="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Тема: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Наблюдение здорового ребенка в условиях поликлиники. Диспансерное наблюдение здорового ребенка в условиях поликлиники. Группы здоровья детей. Принципы организации лечебно-профилактической помощи детям в поликлинике: основные направления работы участкового врача, диспансеризация здорового ребенка, ее цели и задачи. Понятие вакцинации. Календарь профилактических прививок. Показания и противопоказания для вакцинации детей</w:t>
      </w:r>
    </w:p>
    <w:p w:rsidR="002A280D" w:rsidRDefault="002A280D" w:rsidP="002A280D">
      <w:pPr>
        <w:shd w:val="clear" w:color="auto" w:fill="FFFFFF"/>
        <w:tabs>
          <w:tab w:val="left" w:pos="571"/>
        </w:tabs>
        <w:spacing w:line="322" w:lineRule="exact"/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</w:pPr>
    </w:p>
    <w:p w:rsidR="002A280D" w:rsidRDefault="002A280D" w:rsidP="002A280D">
      <w:pPr>
        <w:shd w:val="clear" w:color="auto" w:fill="FFFFFF"/>
        <w:tabs>
          <w:tab w:val="left" w:pos="571"/>
        </w:tabs>
        <w:spacing w:line="322" w:lineRule="exact"/>
        <w:ind w:firstLine="709"/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>Вопросы для подготовки к занятию</w:t>
      </w:r>
    </w:p>
    <w:p w:rsidR="002A280D" w:rsidRDefault="002A280D" w:rsidP="002A280D">
      <w:pPr>
        <w:numPr>
          <w:ilvl w:val="0"/>
          <w:numId w:val="21"/>
        </w:numPr>
        <w:shd w:val="clear" w:color="auto" w:fill="FFFFFF"/>
        <w:tabs>
          <w:tab w:val="left" w:pos="341"/>
        </w:tabs>
        <w:adjustRightInd w:val="0"/>
        <w:ind w:left="426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принципы организации лечебно-профилактической помощи детскому населению;</w:t>
      </w:r>
    </w:p>
    <w:p w:rsidR="002A280D" w:rsidRDefault="002A280D" w:rsidP="002A280D">
      <w:pPr>
        <w:numPr>
          <w:ilvl w:val="0"/>
          <w:numId w:val="21"/>
        </w:numPr>
        <w:shd w:val="clear" w:color="auto" w:fill="FFFFFF"/>
        <w:tabs>
          <w:tab w:val="left" w:pos="341"/>
        </w:tabs>
        <w:adjustRightInd w:val="0"/>
        <w:ind w:left="426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структура и организация деятельности городской детской поликлиники;</w:t>
      </w:r>
    </w:p>
    <w:p w:rsidR="002A280D" w:rsidRDefault="002A280D" w:rsidP="002A280D">
      <w:pPr>
        <w:numPr>
          <w:ilvl w:val="0"/>
          <w:numId w:val="21"/>
        </w:numPr>
        <w:shd w:val="clear" w:color="auto" w:fill="FFFFFF"/>
        <w:tabs>
          <w:tab w:val="left" w:pos="341"/>
        </w:tabs>
        <w:adjustRightInd w:val="0"/>
        <w:ind w:left="426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основные разделы работы участкового педиатра: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диспансеризация здоровых и больных детей;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осуществление дородовых патронажей;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ведение отчетной и учетной медицинской документации;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организация рационального питания детей;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профилактика фоновых заболеваний (рахита, анемии, хронических расстройств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питания и    др.);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организация профилактических прививок;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- оказание медицинской помощи больным детям на дому и на амбулаторном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приеме;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осуществление подготовки детей к поступлению в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дошкольно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-школьные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учреждения;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систематическое повышение квалификации;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проведение </w:t>
      </w:r>
      <w:proofErr w:type="gram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сан.-</w:t>
      </w:r>
      <w:proofErr w:type="gramEnd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просвет. работы с населением участка;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проведение экспертизы временной нетрудоспособности;</w:t>
      </w:r>
    </w:p>
    <w:p w:rsidR="002A280D" w:rsidRDefault="002A280D" w:rsidP="002A280D">
      <w:pPr>
        <w:shd w:val="clear" w:color="auto" w:fill="FFFFFF"/>
        <w:tabs>
          <w:tab w:val="left" w:pos="355"/>
        </w:tabs>
        <w:adjustRightInd w:val="0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- контроль работы участковой мед. сестры;</w:t>
      </w:r>
    </w:p>
    <w:p w:rsidR="002A280D" w:rsidRDefault="002A280D" w:rsidP="002A280D">
      <w:pPr>
        <w:numPr>
          <w:ilvl w:val="0"/>
          <w:numId w:val="21"/>
        </w:numPr>
        <w:shd w:val="clear" w:color="auto" w:fill="FFFFFF"/>
        <w:tabs>
          <w:tab w:val="left" w:pos="341"/>
        </w:tabs>
        <w:adjustRightInd w:val="0"/>
        <w:ind w:left="426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организация работы кабинета по воспитанию здорового ребенка;</w:t>
      </w:r>
    </w:p>
    <w:p w:rsidR="002A280D" w:rsidRDefault="002A280D" w:rsidP="002A280D">
      <w:pPr>
        <w:numPr>
          <w:ilvl w:val="0"/>
          <w:numId w:val="21"/>
        </w:numPr>
        <w:shd w:val="clear" w:color="auto" w:fill="FFFFFF"/>
        <w:tabs>
          <w:tab w:val="left" w:pos="341"/>
        </w:tabs>
        <w:adjustRightInd w:val="0"/>
        <w:ind w:left="426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диспансеризация здорового ребенка, ее цели и задачи. Понятие группы здоровья;</w:t>
      </w:r>
    </w:p>
    <w:p w:rsidR="002A280D" w:rsidRDefault="002A280D" w:rsidP="002A280D">
      <w:pPr>
        <w:numPr>
          <w:ilvl w:val="0"/>
          <w:numId w:val="21"/>
        </w:numPr>
        <w:shd w:val="clear" w:color="auto" w:fill="FFFFFF"/>
        <w:tabs>
          <w:tab w:val="left" w:pos="341"/>
        </w:tabs>
        <w:adjustRightInd w:val="0"/>
        <w:ind w:left="426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организация вакцинопрофилактики в условиях детской поликлиники. Календарь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профилактических прививок. Правила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подготовки детей к вакцинации;</w:t>
      </w:r>
    </w:p>
    <w:p w:rsidR="002A280D" w:rsidRDefault="002A280D" w:rsidP="002A280D">
      <w:pPr>
        <w:pStyle w:val="a4"/>
        <w:widowControl/>
        <w:numPr>
          <w:ilvl w:val="0"/>
          <w:numId w:val="21"/>
        </w:numPr>
        <w:tabs>
          <w:tab w:val="num" w:pos="426"/>
        </w:tabs>
        <w:autoSpaceDE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нормативно-правовые документы по обеспечению амбулаторно-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поликлинической помощи детскому населению</w:t>
      </w:r>
    </w:p>
    <w:p w:rsidR="002A280D" w:rsidRDefault="002A280D" w:rsidP="002A280D">
      <w:pPr>
        <w:pStyle w:val="a4"/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A280D" w:rsidRDefault="002A280D" w:rsidP="002A280D">
      <w:pPr>
        <w:rPr>
          <w:rFonts w:ascii="Times New Roman" w:hAnsi="Times New Roman" w:cs="Times New Roman"/>
          <w:sz w:val="24"/>
          <w:szCs w:val="24"/>
        </w:rPr>
      </w:pPr>
    </w:p>
    <w:p w:rsidR="002A280D" w:rsidRDefault="002A280D" w:rsidP="002A280D">
      <w:pPr>
        <w:widowControl/>
        <w:autoSpaceDE/>
        <w:rPr>
          <w:rFonts w:ascii="Times New Roman" w:hAnsi="Times New Roman" w:cs="Times New Roman"/>
          <w:b/>
          <w:bCs/>
          <w:sz w:val="24"/>
          <w:szCs w:val="24"/>
        </w:rPr>
      </w:pPr>
    </w:p>
    <w:p w:rsidR="00BA78E6" w:rsidRDefault="00BA78E6"/>
    <w:sectPr w:rsidR="00BA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D2D79"/>
    <w:multiLevelType w:val="hybridMultilevel"/>
    <w:tmpl w:val="8EE68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1BC5"/>
    <w:multiLevelType w:val="multilevel"/>
    <w:tmpl w:val="269EFFF0"/>
    <w:styleLink w:val="WW8Num34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25055F"/>
    <w:multiLevelType w:val="hybridMultilevel"/>
    <w:tmpl w:val="86A26208"/>
    <w:lvl w:ilvl="0" w:tplc="67F0E6A6">
      <w:start w:val="1"/>
      <w:numFmt w:val="decimal"/>
      <w:lvlText w:val="%1."/>
      <w:lvlJc w:val="left"/>
      <w:pPr>
        <w:ind w:left="3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EE71B6"/>
    <w:multiLevelType w:val="hybridMultilevel"/>
    <w:tmpl w:val="5F4E94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2257173A"/>
    <w:multiLevelType w:val="hybridMultilevel"/>
    <w:tmpl w:val="7BC84E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D0916"/>
    <w:multiLevelType w:val="hybridMultilevel"/>
    <w:tmpl w:val="D68E8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00752B"/>
    <w:multiLevelType w:val="hybridMultilevel"/>
    <w:tmpl w:val="739A3B00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EB8080E"/>
    <w:multiLevelType w:val="singleLevel"/>
    <w:tmpl w:val="82CEA6F8"/>
    <w:lvl w:ilvl="0">
      <w:start w:val="1"/>
      <w:numFmt w:val="decimal"/>
      <w:lvlText w:val="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3F21B48"/>
    <w:multiLevelType w:val="singleLevel"/>
    <w:tmpl w:val="03F047F4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54678C5"/>
    <w:multiLevelType w:val="hybridMultilevel"/>
    <w:tmpl w:val="1A56B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D05EE7"/>
    <w:multiLevelType w:val="hybridMultilevel"/>
    <w:tmpl w:val="1A42C762"/>
    <w:lvl w:ilvl="0" w:tplc="63FE70F2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9167C0"/>
    <w:multiLevelType w:val="hybridMultilevel"/>
    <w:tmpl w:val="1FA68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20B18"/>
    <w:multiLevelType w:val="hybridMultilevel"/>
    <w:tmpl w:val="9A0AE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23909"/>
    <w:multiLevelType w:val="hybridMultilevel"/>
    <w:tmpl w:val="C180D08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5F481436"/>
    <w:multiLevelType w:val="hybridMultilevel"/>
    <w:tmpl w:val="21A04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B3604"/>
    <w:multiLevelType w:val="singleLevel"/>
    <w:tmpl w:val="FC1A3CA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BFA191E"/>
    <w:multiLevelType w:val="hybridMultilevel"/>
    <w:tmpl w:val="75BAC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F2540DA"/>
    <w:multiLevelType w:val="hybridMultilevel"/>
    <w:tmpl w:val="146819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670469"/>
    <w:multiLevelType w:val="hybridMultilevel"/>
    <w:tmpl w:val="C63455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9" w15:restartNumberingAfterBreak="0">
    <w:nsid w:val="746C24FE"/>
    <w:multiLevelType w:val="hybridMultilevel"/>
    <w:tmpl w:val="C400EF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7ED62657"/>
    <w:multiLevelType w:val="hybridMultilevel"/>
    <w:tmpl w:val="38AEC7F0"/>
    <w:lvl w:ilvl="0" w:tplc="FC1A3CAE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916"/>
    <w:rsid w:val="002A280D"/>
    <w:rsid w:val="004B4916"/>
    <w:rsid w:val="00867198"/>
    <w:rsid w:val="00BA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C87F0-6C49-4492-ABDF-6A341DB8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280D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2A280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A280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2A28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A280D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Standard">
    <w:name w:val="Standard"/>
    <w:rsid w:val="002A280D"/>
    <w:pPr>
      <w:suppressAutoHyphens/>
      <w:autoSpaceDN w:val="0"/>
      <w:spacing w:after="0" w:line="240" w:lineRule="auto"/>
    </w:pPr>
    <w:rPr>
      <w:rFonts w:ascii="Times New Roman" w:eastAsia="Arial Unicode MS" w:hAnsi="Times New Roman" w:cs="Calibri"/>
      <w:kern w:val="3"/>
      <w:sz w:val="24"/>
      <w:szCs w:val="24"/>
    </w:rPr>
  </w:style>
  <w:style w:type="paragraph" w:customStyle="1" w:styleId="2">
    <w:name w:val="Без интервала2"/>
    <w:rsid w:val="002A280D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2A280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numbering" w:customStyle="1" w:styleId="WW8Num34">
    <w:name w:val="WW8Num34"/>
    <w:rsid w:val="002A280D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3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.minzdrav.gov.ru/recomend/669_1" TargetMode="External"/><Relationship Id="rId5" Type="http://schemas.openxmlformats.org/officeDocument/2006/relationships/hyperlink" Target="http://alfa-endo.ru/attachments/download/metodicheskie_rekomendacii_ocenka_fizicheskogo_razvitiya_detei_i_podrostkov-10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2518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Work2</cp:lastModifiedBy>
  <cp:revision>2</cp:revision>
  <dcterms:created xsi:type="dcterms:W3CDTF">2026-09-05T06:48:00Z</dcterms:created>
  <dcterms:modified xsi:type="dcterms:W3CDTF">2026-09-05T06:48:00Z</dcterms:modified>
</cp:coreProperties>
</file>